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Minutes of a working session on the licensing diligence for Price-Henson. Prepared by Richard Henderson from contemporaneous notes. Privileged and confidential; attorney work product. Corrections to me.</w:t>
      </w:r>
    </w:p>
    <w:p>
      <w:pPr>
        <w:pStyle w:val="Heading1"/>
      </w:pPr>
      <w:r>
        <w:t>Attendees</w:t>
      </w:r>
    </w:p>
    <w:p>
      <w:pPr>
        <w:pStyle w:val="ListBullet"/>
      </w:pPr>
      <w:r>
        <w:t>Richard Henderson, Patent Agent, Prosecution</w:t>
      </w:r>
    </w:p>
    <w:p>
      <w:pPr>
        <w:pStyle w:val="ListBullet"/>
      </w:pPr>
      <w:r>
        <w:t>David Chang, Patent Agent, Prosecution</w:t>
      </w:r>
    </w:p>
    <w:p>
      <w:pPr>
        <w:pStyle w:val="ListBullet"/>
      </w:pPr>
      <w:r>
        <w:t>Tiffany Munoz, Chief Financial Officer, Price-Henson</w:t>
      </w:r>
    </w:p>
    <w:p>
      <w:pPr>
        <w:pStyle w:val="Heading1"/>
      </w:pPr>
      <w:r>
        <w:t>Discussion</w:t>
      </w:r>
    </w:p>
    <w:p>
      <w:r>
        <w:t>Report status. The draft has been through internal review and is with the client for comment. It is organized by family. Each conclusion carries its assumption in the same paragraph rather than in a schedule at the back. David Chang argued for that arrangement and I agreed with it: a reader who skips the schedule should not thereby be able to skip the assumption.</w:t>
      </w:r>
    </w:p>
    <w:p>
      <w:r>
        <w:t>Title. The licensor produced the executed original of the assignment for the first of the two defective families and it has been recorded. That chain is now clean of record and the report says so without qualification, which makes it the only unqualified sentence we have written in this matter. The second family remains open. The licensor's counsel states that the executed original exists and is being located. Until it is in hand, the report will say that the licensor's ability to grant that family is unconfirmed. David Chang asked whether that could be softened to expected to be confirmed. It should not be. What we have is a representation from the other side's counsel, not a document, and the report should say which of the two it is relying on.</w:t>
      </w:r>
    </w:p>
    <w:p>
      <w:r>
        <w:t>Government interest. The funding agreements for the three families were produced and read in full. The disclosures on the face of the specifications are accurate. The retained license is the standard nonexclusive, irrevocable, paid-up license, and march-in survives. The report states the consequence plainly: exclusivity in those three families does not run against the United States or against a contractor acting for it. Tiffany Munoz confirmed that the Price-Henson board has been told and that it did not change the board's appetite for the transaction.</w:t>
      </w:r>
    </w:p>
    <w:p>
      <w:r>
        <w:t>Field-of-use grant. The construction question on the prior exclusive grant resolved better than I expected, though not cleanly. On the ordinary meaning of the recorded language the earlier field does not reach the planned product. There is a reading on which it does, and I would not call that reading frivolous. The report gives both, says which we believe is correct, and says why. Tiffany Munoz asked for a one-line answer for the board. The answer given was that a one-line answer on this point is exactly the kind of thing that gets read back to us later, and that the board can have one sentence and the paragraph under it, but not the sentence alone.</w:t>
      </w:r>
    </w:p>
    <w:p>
      <w:r>
        <w:t>Remaining work. The claim charts are complete. The two claims that turned on prosecution history have been worked through element by element. One reads on the planned product as construed and one does not; the report says which, and on what construction, and what would change the answer. What is left is the second executed original, the client's comments on the draft, and the closing session.</w:t>
      </w:r>
    </w:p>
    <w:p>
      <w:pPr>
        <w:pStyle w:val="Heading1"/>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Target</w:t>
            </w:r>
          </w:p>
        </w:tc>
      </w:tr>
      <w:tr>
        <w:tc>
          <w:tcPr>
            <w:tcW w:type="dxa" w:w="2880"/>
          </w:tcPr>
          <w:p>
            <w:r>
              <w:t>Press licensor's counsel in writing for the executed original of the remaining unrecorded assignment, and record it on receipt</w:t>
            </w:r>
          </w:p>
        </w:tc>
        <w:tc>
          <w:tcPr>
            <w:tcW w:type="dxa" w:w="2880"/>
          </w:tcPr>
          <w:p>
            <w:r>
              <w:t>David Chang</w:t>
            </w:r>
          </w:p>
        </w:tc>
        <w:tc>
          <w:tcPr>
            <w:tcW w:type="dxa" w:w="2880"/>
          </w:tcPr>
          <w:p>
            <w:r>
              <w:t>This week</w:t>
            </w:r>
          </w:p>
        </w:tc>
      </w:tr>
      <w:tr>
        <w:tc>
          <w:tcPr>
            <w:tcW w:type="dxa" w:w="2880"/>
          </w:tcPr>
          <w:p>
            <w:r>
              <w:t>Return client comments on the draft report</w:t>
            </w:r>
          </w:p>
        </w:tc>
        <w:tc>
          <w:tcPr>
            <w:tcW w:type="dxa" w:w="2880"/>
          </w:tcPr>
          <w:p>
            <w:r>
              <w:t>Tiffany Munoz</w:t>
            </w:r>
          </w:p>
        </w:tc>
        <w:tc>
          <w:tcPr>
            <w:tcW w:type="dxa" w:w="2880"/>
          </w:tcPr>
          <w:p>
            <w:r>
              <w:t>Within the review period agreed at the session</w:t>
            </w:r>
          </w:p>
        </w:tc>
      </w:tr>
      <w:tr>
        <w:tc>
          <w:tcPr>
            <w:tcW w:type="dxa" w:w="2880"/>
          </w:tcPr>
          <w:p>
            <w:r>
              <w:t>Finalize the construction paragraph on the field-of-use grant so the board has one sentence and one supporting paragraph</w:t>
            </w:r>
          </w:p>
        </w:tc>
        <w:tc>
          <w:tcPr>
            <w:tcW w:type="dxa" w:w="2880"/>
          </w:tcPr>
          <w:p>
            <w:r>
              <w:t>Richard Henderson</w:t>
            </w:r>
          </w:p>
        </w:tc>
        <w:tc>
          <w:tcPr>
            <w:tcW w:type="dxa" w:w="2880"/>
          </w:tcPr>
          <w:p>
            <w:r>
              <w:t>On receipt of comments</w:t>
            </w:r>
          </w:p>
        </w:tc>
      </w:tr>
      <w:tr>
        <w:tc>
          <w:tcPr>
            <w:tcW w:type="dxa" w:w="2880"/>
          </w:tcPr>
          <w:p>
            <w:r>
              <w:t>Reconcile the annuity docket against the licensor's a final time before delivery</w:t>
            </w:r>
          </w:p>
        </w:tc>
        <w:tc>
          <w:tcPr>
            <w:tcW w:type="dxa" w:w="2880"/>
          </w:tcPr>
          <w:p>
            <w:r>
              <w:t>Richard Henderson</w:t>
            </w:r>
          </w:p>
        </w:tc>
        <w:tc>
          <w:tcPr>
            <w:tcW w:type="dxa" w:w="2880"/>
          </w:tcPr>
          <w:p>
            <w:r>
              <w:t>Before delivery</w:t>
            </w:r>
          </w:p>
        </w:tc>
      </w:tr>
      <w:tr>
        <w:tc>
          <w:tcPr>
            <w:tcW w:type="dxa" w:w="2880"/>
          </w:tcPr>
          <w:p>
            <w:r>
              <w:t>Schedule the closing session to walk the report and take questions</w:t>
            </w:r>
          </w:p>
        </w:tc>
        <w:tc>
          <w:tcPr>
            <w:tcW w:type="dxa" w:w="2880"/>
          </w:tcPr>
          <w:p>
            <w:r>
              <w:t>David Chang</w:t>
            </w:r>
          </w:p>
        </w:tc>
        <w:tc>
          <w:tcPr>
            <w:tcW w:type="dxa" w:w="2880"/>
          </w:tcPr>
          <w:p>
            <w:r>
              <w:t>On finalization</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Licensing Diligence for Price-Henson</dc:title>
  <dc:subject/>
  <dc:creator>Richard Henderson</dc:creator>
  <cp:keywords/>
  <dc:description>generated by python-docx</dc:description>
  <cp:lastModifiedBy>Richard Henderson</cp:lastModifiedBy>
  <cp:revision>1</cp:revision>
  <dcterms:created xsi:type="dcterms:W3CDTF">2025-08-19T09:00:00Z</dcterms:created>
  <dcterms:modified xsi:type="dcterms:W3CDTF">2025-08-19T09:00:00Z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