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Hollowell Patent Group PLLC — Firm Overview</w:t>
      </w:r>
    </w:p>
    <w:p>
      <w:r>
        <w:t>Hollowell Patent Group PLLC is a patent boutique. We prepare, prosecute, and defend patent portfolios, and we do not hold ourselves out as a general-practice firm. The work we accept is the work we are equipped to docket, staff, and finish. That is a limit, and we state it at the front of this document rather than at the back, because a client who discovers the boundary of an engagement after signing the letter has been badly served by counsel.</w:t>
      </w:r>
    </w:p>
    <w:p>
      <w:r>
        <w:t>The firm is organized around one conviction: a boutique survives on the dates it does not miss. Statutory bars, response periods, annuity dates, and filing windows are not administration arranged around the practice. They are the practice. What follows describes what we do between those dates.</w:t>
      </w:r>
    </w:p>
    <w:p>
      <w:pPr>
        <w:pStyle w:val="Heading2"/>
      </w:pPr>
      <w:r>
        <w:t>Service lines</w:t>
      </w:r>
    </w:p>
    <w:p>
      <w:pPr>
        <w:pStyle w:val="ListBullet"/>
      </w:pPr>
      <w:r>
        <w:t>Preparation and prosecution. Drafting applications against what the inventors actually disclosed, responding to office actions element by element, taking an appeal where the record supports one and not where it does not, and keeping continuation practice tied to a client's product plans rather than to habit.</w:t>
      </w:r>
    </w:p>
    <w:p>
      <w:pPr>
        <w:pStyle w:val="ListBullet"/>
      </w:pPr>
      <w:r>
        <w:t>Portfolio review. Structured review organized by family, on a stated cycle, producing a written record of what is pending, what has issued, what has been abandoned, and the reason for each. Reviews are long because a review that fits on a page is a summary of a review.</w:t>
      </w:r>
    </w:p>
    <w:p>
      <w:pPr>
        <w:pStyle w:val="ListBullet"/>
      </w:pPr>
      <w:r>
        <w:t>Freedom-to-operate analysis. Written memoranda, delivered under privilege and marked as such, stating what was searched, what was not searched, and what conclusion the record will support. We do not issue clearance opinions that read as guarantees. Counsel who writes that a product does not infringe, without qualification, has written a liability rather than an opinion.</w:t>
      </w:r>
    </w:p>
    <w:p>
      <w:pPr>
        <w:pStyle w:val="ListBullet"/>
      </w:pPr>
      <w:r>
        <w:t>Portfolio defense and support. Responses to third-party challenges, and support to a client's chosen counsel where a matter leaves this office.</w:t>
      </w:r>
    </w:p>
    <w:p>
      <w:pPr>
        <w:pStyle w:val="Heading2"/>
      </w:pPr>
      <w:r>
        <w:t>How the work is engaged</w:t>
      </w:r>
    </w:p>
    <w:p>
      <w:r>
        <w:t>We bill by the matter. Every engagement begins with a letter that says what is inside the scope, what is outside it, how conflicts were checked and what we will do if one arises, and what happens if an invoice goes unpaid. Those terms are stated in the letter because they are conditions of the engagement, not because a form requires them. A client who wants a term changed should ask before signing; a client who wants work outside the scope will receive a new letter, not a quiet expansion of the old one.</w:t>
      </w:r>
    </w:p>
    <w:p>
      <w:r>
        <w:t>Client communication is deliberately plain. Substantive analysis arrives as a memorandum, with the qualifications in it. Routine status moves as short correspondence against a docket number, so that a client can file it, find it, and read it in the time an engineer or an in-house lawyer actually has. Where a board or a licensing committee needs the portfolio on one page, we will prepare that page, and we will say on it what it leaves out.</w:t>
      </w:r>
    </w:p>
    <w:p>
      <w:pPr>
        <w:pStyle w:val="Heading2"/>
      </w:pPr>
      <w:r>
        <w:t>Representative client work</w:t>
      </w:r>
    </w:p>
    <w:p>
      <w:r>
        <w:t>The firm's engagement of record at this date is with Odonnell Inc. The work runs from disclosure review and drafting through prosecution, with portfolio review on a set cycle and freedom-to-operate analysis as the client's development requires. We describe it here in general terms and no further. The particulars of a client's portfolio belong in the file and in privileged correspondence, not in a document written to introduce the firm.</w:t>
      </w:r>
    </w:p>
    <w:p>
      <w:pPr>
        <w:pStyle w:val="Heading2"/>
      </w:pPr>
      <w:r>
        <w:t>Docketing</w:t>
      </w:r>
    </w:p>
    <w:p>
      <w:r>
        <w:t>The calendar is owned by Sharon Woods, our Docketing Manager, and it is the one part of this firm that does not bend to a partner's convenience. Dates are entered when the correspondence arrives, confirmed against the source document, and reconfirmed on a schedule. No attorney's assurance substitutes for a docket entry, including mine. Any date on our calendar can be reconstructed on request, showing what was received, when, and how the period was calculated. Requests to move a date are answered in writing, and the answer is frequently no.</w:t>
      </w:r>
    </w:p>
    <w:p>
      <w:pPr>
        <w:pStyle w:val="Heading2"/>
      </w:pPr>
      <w:r>
        <w:t>Working with this firm</w:t>
      </w:r>
    </w:p>
    <w:p>
      <w:r>
        <w:t>Attorneys and agents here write in full names and titles in anything a client reads, sign what they write, and qualify what the record requires them to qualify. If a sentence in one of our letters seems more hedged than a client would like, the hedge is doing work. Questions about scope, conflicts, or fee terms should go to Mary Bradley, Managing Partner, before an engagement letter is signed rather than after it has been.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Mary Bradley</dc:creator>
  <cp:keywords/>
  <dc:description>generated by python-docx</dc:description>
  <cp:lastModifiedBy>Mary Bradley</cp:lastModifiedBy>
  <cp:revision>1</cp:revision>
  <dcterms:created xsi:type="dcterms:W3CDTF">2019-06-12T09:00:00Z</dcterms:created>
  <dcterms:modified xsi:type="dcterms:W3CDTF">2019-06-12T09:00:00Z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