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Hollowell Patent Group PLLC — Firm Overview</w:t>
      </w:r>
    </w:p>
    <w:p>
      <w:r>
        <w:t>This firm is a patent boutique. We prepare and prosecute patent applications, review and maintain portfolios, write freedom-to-operate opinions, and defend what we file. We do not do the rest of what a law firm can do, and we say so at the outset of every engagement rather than discovering the limit alongside a client in the middle of one.</w:t>
      </w:r>
    </w:p>
    <w:p>
      <w:r>
        <w:t>The premise has not changed since the firm opened, and this overview revises the previous one only where the practice has actually moved. A boutique survives on the dates it does not miss. A missed date is the single error this firm cannot absorb, cannot bill around, and cannot explain to a client in a way that repairs the position it cost them. Everything below is what happens in the intervals between those dates.</w:t>
      </w:r>
    </w:p>
    <w:p>
      <w:pPr>
        <w:pStyle w:val="Heading2"/>
      </w:pPr>
      <w:r>
        <w:t>Practice</w:t>
      </w:r>
    </w:p>
    <w:p>
      <w:pPr>
        <w:pStyle w:val="ListBullet"/>
      </w:pPr>
      <w:r>
        <w:t>Preparation and prosecution: drafting from the disclosure as it exists, office action responses argued element by element, appeals where the record supports one, and continuation practice governed by the client's plans rather than by ours.</w:t>
      </w:r>
    </w:p>
    <w:p>
      <w:pPr>
        <w:pStyle w:val="ListBullet"/>
      </w:pPr>
      <w:r>
        <w:t>Portfolio review: by family, on a stated cycle, producing a written record of every live matter, every issued right, and every abandonment with its reason. The reviews are long. That is the intended length.</w:t>
      </w:r>
    </w:p>
    <w:p>
      <w:pPr>
        <w:pStyle w:val="ListBullet"/>
      </w:pPr>
      <w:r>
        <w:t>Freedom-to-operate: privileged memoranda that state the searches performed, the boundaries of what was looked at, and only the conclusion the record will carry. The scope section is not preamble; it is the part that keeps the opinion honest three years later.</w:t>
      </w:r>
    </w:p>
    <w:p>
      <w:pPr>
        <w:pStyle w:val="ListBullet"/>
      </w:pPr>
      <w:r>
        <w:t>Defense and support: responses to third-party challenges, and support to a client's counsel where a matter leaves this office.</w:t>
      </w:r>
    </w:p>
    <w:p>
      <w:pPr>
        <w:pStyle w:val="Heading2"/>
      </w:pPr>
      <w:r>
        <w:t>Clients</w:t>
      </w:r>
    </w:p>
    <w:p>
      <w:r>
        <w:t>The firm's engagements of record at this date are with Odonnell Inc, Middleton, Sullivan and Wiley, and Keith-Duarte. Their portfolios differ in size, in rhythm, and in what they need from counsel in a given quarter, and the firm has resisted flattening those differences into a single service model to make its own scheduling easier.</w:t>
      </w:r>
    </w:p>
    <w:p>
      <w:r>
        <w:t>Representative work across those engagements looks the same on paper from the outside and is not the same underneath: disclosure review and drafting, prosecution to grant or to a considered abandonment, portfolio review by family on the cycle each client's letter sets, and freedom-to-operate analysis when a product decision is waiting on it. Beyond that description we do not go here. What a particular client holds, what it is pursuing, and what it decided not to pursue are matters for the file and for privileged correspondence, not for an overview that will be handed to people who are not the client.</w:t>
      </w:r>
    </w:p>
    <w:p>
      <w:pPr>
        <w:pStyle w:val="Heading2"/>
      </w:pPr>
      <w:r>
        <w:t>Engagement terms</w:t>
      </w:r>
    </w:p>
    <w:p>
      <w:r>
        <w:t>We bill by the matter. The engagement letter states the scope, states what falls outside it, records the conflicts check and what we will do if a conflict later appears, and sets out the consequence of an unpaid invoice. Those provisions are negotiated before signature or not at all. Work outside a scope is engaged by a new letter. In several years of doing it this way, no client has complained about the letter being explicit, and the ones who read it closely have been the easiest to represent.</w:t>
      </w:r>
    </w:p>
    <w:p>
      <w:pPr>
        <w:pStyle w:val="Heading2"/>
      </w:pPr>
      <w:r>
        <w:t>Docketing</w:t>
      </w:r>
    </w:p>
    <w:p>
      <w:r>
        <w:t>The docket is the firm's spine. Dates are entered on receipt, confirmed against the source, and reconfirmed on a schedule that does not depend on anyone remembering to run it. No attorney's word substitutes for an entry. Every date on the calendar can be reconstructed on demand, showing the document it came from and the calculation that produced it, and that reconstruction is treated as routine work rather than as an accusation. Requests to move a date are answered in writing.</w:t>
      </w:r>
    </w:p>
    <w:p>
      <w:pPr>
        <w:pStyle w:val="Heading2"/>
      </w:pPr>
      <w:r>
        <w:t>How we write</w:t>
      </w:r>
    </w:p>
    <w:p>
      <w:r>
        <w:t>Precision is not a house style here; it is the product. Our letters name people in full and our opinions carry their conditions in the sentence rather than in a footnote. If our correspondence reads as more careful than a client expected, the care is load-bearing. Questions about scope, conflicts, or fees are answered by Mary Bradley, Managing Partner, and are better asked before an engagement letter is signed than after.</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1E4D2B"/>
        <w:sz w:val="28"/>
      </w:rPr>
      <w:t>Hollowell Patent Group PLLC</w:t>
    </w:r>
  </w:p>
  <w:p>
    <w:r>
      <w:rPr>
        <w:sz w:val="18"/>
      </w:rPr>
      <w:t>www.hollowellpatent.com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Hollowell Patent Group PLLC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Firm Overview</dc:title>
  <dc:subject/>
  <dc:creator>Mary Bradley</dc:creator>
  <cp:keywords/>
  <dc:description>generated by python-docx</dc:description>
  <cp:lastModifiedBy>Mary Bradley</cp:lastModifiedBy>
  <cp:revision>1</cp:revision>
  <dcterms:created xsi:type="dcterms:W3CDTF">2022-06-11T09:00:00Z</dcterms:created>
  <dcterms:modified xsi:type="dcterms:W3CDTF">2022-06-11T09:00:00Z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