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Hollowell Patent Group PLLC: Firm Overview</w:t>
      </w:r>
    </w:p>
    <w:p>
      <w:r>
        <w:t>Hollowell Patent Group PLLC is a patent boutique. We prepare and prosecute patent applications, manage and defend the portfolios that result, and advise clients on what those portfolios can and cannot be relied on to do. We do not practice outside that. Clients who need a general-practice firm generally have one; clients come to us because they want their patent work done by the people who will still be on the file years from now, and because the file is the whole business here rather than one department of it.</w:t>
      </w:r>
    </w:p>
    <w:p>
      <w:r>
        <w:t>The firm is led by its founding partner, Mary Bradley, Managing Partner, and it was built around a narrow proposition. A portfolio is only as sound as the dates standing behind it. Claims can be amended, arguments can be rewritten, an examiner can be persuaded on a second pass. A date that has run cannot be recovered by anyone, at any price, and no amount of good lawyering afterward puts it back. Everything in our practice, including how we staff files and how we bill them, follows from that.</w:t>
      </w:r>
    </w:p>
    <w:p>
      <w:pPr>
        <w:pStyle w:val="Heading2"/>
      </w:pPr>
      <w:r>
        <w:t>Service lines</w:t>
      </w:r>
    </w:p>
    <w:p>
      <w:pPr>
        <w:pStyle w:val="ListBullet"/>
      </w:pPr>
      <w:r>
        <w:t>Preparation and prosecution. Drafting from disclosure through issuance, including inventor interviews run by the person who will write the application, not by an intake layer that hands off a summary.</w:t>
      </w:r>
    </w:p>
    <w:p>
      <w:pPr>
        <w:pStyle w:val="ListBullet"/>
      </w:pPr>
      <w:r>
        <w:t>Portfolio strategy and family management. Structured reviews organized by family, with written recommendations on what to continue, what to let lapse, and where a continuation is worth the fee.</w:t>
      </w:r>
    </w:p>
    <w:p>
      <w:pPr>
        <w:pStyle w:val="ListBullet"/>
      </w:pPr>
      <w:r>
        <w:t>Freedom-to-operate and clearance. Written opinions on what the relevant claims require and where the risk sits, delivered under privilege and marked accordingly.</w:t>
      </w:r>
    </w:p>
    <w:p>
      <w:pPr>
        <w:pStyle w:val="ListBullet"/>
      </w:pPr>
      <w:r>
        <w:t>Post-grant and contested matters. Defensive work on issued claims, and support to litigation counsel where a client's dispute has moved past our lane.</w:t>
      </w:r>
    </w:p>
    <w:p>
      <w:pPr>
        <w:pStyle w:val="ListBullet"/>
      </w:pPr>
      <w:r>
        <w:t>Licensing and diligence support. Portfolio-side work for transactions, including responding to the diligence questions a counterparty will ask about your files.</w:t>
      </w:r>
    </w:p>
    <w:p>
      <w:pPr>
        <w:pStyle w:val="ListBullet"/>
      </w:pPr>
      <w:r>
        <w:t>Docketing and maintenance. Date management as a discipline in its own right, not a clerical residue of the other five.</w:t>
      </w:r>
    </w:p>
    <w:p>
      <w:pPr>
        <w:pStyle w:val="Heading2"/>
      </w:pPr>
      <w:r>
        <w:t>How we work</w:t>
      </w:r>
    </w:p>
    <w:p>
      <w:r>
        <w:t>We bill by the matter, and we say so at the outset. Our engagement letters are explicit about scope, about conflicts, and about what happens if an invoice goes unpaid. That plainness occasionally costs us a client at the front end. It has never cost us one at the back end, which is where the expensive surprises live.</w:t>
      </w:r>
    </w:p>
    <w:p>
      <w:r>
        <w:t>Portfolio reviews are long and structured, organized by family, and written to be read by someone who was not in the room. Freedom-to-operate memoranda are hedged with care, because the hedges are the analysis. Routine client updates go out as short emails against a docket number, so that a client can search their own inbox and reconstruct a file's history without calling us. When a board wants the portfolio on one page, we will put it on one page, with the qualifications on the page rather than in a footnote nobody reads aloud.</w:t>
      </w:r>
    </w:p>
    <w:p>
      <w:r>
        <w:t>A note on how we write, since clients notice it early. No one at this firm will tell you that a product does not infringe. We will tell you what the claims require, which limitations we think are met and which are not, what a competent adversary would argue against that reading, and what we would want to see before the answer firms up. Counsel who writes an unqualified opinion is not being decisive; they are writing a liability, usually their own and eventually yours.</w:t>
      </w:r>
    </w:p>
    <w:p>
      <w:pPr>
        <w:pStyle w:val="Heading2"/>
      </w:pPr>
      <w:r>
        <w:t>Representative client work</w:t>
      </w:r>
    </w:p>
    <w:p>
      <w:r>
        <w:t>Our clients include medical device manufacturers, a university licensing office, and venture-backed hardware companies at the stage where the portfolio is still the asset being built. Representative engagements follow. We name them here with permission and describe the work only in general terms.</w:t>
      </w:r>
    </w:p>
    <w:p>
      <w:r>
        <w:t>Odonnell Inc is among our longest-standing clients. The work runs continuously across multiple families, from first disclosure through issuance and into maintenance, with the same attorneys on the families year over year.</w:t>
      </w:r>
    </w:p>
    <w:p>
      <w:r>
        <w:t>For Middleton, Sullivan and Wiley we conduct structured portfolio reviews by family and carry the resulting prosecution, including the unglamorous half of the recommendation: the filings that get abandoned on purpose.</w:t>
      </w:r>
    </w:p>
    <w:p>
      <w:r>
        <w:t>Work for Keith-Duarte has centered on clearance and freedom-to-operate analysis ahead of product decisions, with prosecution running alongside it so that the offensive and defensive pictures are drawn by the same hands.</w:t>
      </w:r>
    </w:p>
    <w:p>
      <w:r>
        <w:t>For Jackson Inc we handle preparation and prosecution across an active docket, with the date management sitting on our side of the line and reported back on a schedule the client set.</w:t>
      </w:r>
    </w:p>
    <w:p>
      <w:r>
        <w:t>Price-Henson is our most recent engagement, and the work there is portfolio building in its earliest form: disclosures, interviews, and the sequencing decisions that are cheap now and expensive later.</w:t>
      </w:r>
    </w:p>
    <w:p>
      <w:pPr>
        <w:pStyle w:val="Heading2"/>
      </w:pPr>
      <w:r>
        <w:t>Working with us</w:t>
      </w:r>
    </w:p>
    <w:p>
      <w:r>
        <w:t>New matters begin with a conflicts check and an engagement letter that states the scope in terms both sides can hold each other to. If the scope changes, we amend the letter rather than assume. If we cannot take a matter, we say so quickly, and we say why to the extent we are permitted to. We would rather decline a file in a week than carry it badly for a year.</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Firm Overview</dc:title>
  <dc:subject/>
  <dc:creator>Mary Bradley</dc:creator>
  <cp:keywords/>
  <dc:description>generated by python-docx</dc:description>
  <cp:lastModifiedBy>Mary Bradley</cp:lastModifiedBy>
  <cp:revision>1</cp:revision>
  <dcterms:created xsi:type="dcterms:W3CDTF">2025-06-10T09:00:00Z</dcterms:created>
  <dcterms:modified xsi:type="dcterms:W3CDTF">2025-06-10T09:00:00Z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