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 Richard Henderson, Patent Agent</w:t>
      </w:r>
    </w:p>
    <w:p>
      <w:r>
        <w:t>Richard Henderson joins the firm today as a Patent Agent in the prosecution group. I am putting this record in the file so that what he has been told, and what the firm expects of him, is not a matter of anyone's recollection a year from now. He is welcome here, and the welcome is worth about a paragraph; the rest of this is the part he will actually need.</w:t>
      </w:r>
    </w:p>
    <w:p>
      <w:r>
        <w:t>He will draft applications and prepare responses to office actions. His work will be assigned by family rather than matter by matter, which is how this firm organizes its files and how he should organize his. Where a specification does not support the claim someone wants, he is expected to say so, in writing, early, and to the person who wants it. That is not an obstruction of the practice; it is the reason we hire agents who read for a living. Client persuasion is not his to carry. Anything that begins to read like advocacy directed at a client goes up the chain before it goes out. He should mark, in the response itself, what he assumed in order to reach a conclusion, so that a reviewer is checking the assumption rather than reconstructing it.</w:t>
      </w:r>
    </w:p>
    <w:p>
      <w:r>
        <w:t>Docketing is not optional and it is not his to estimate. Every date he relies on comes from the docket. If correspondence reaches him with a date in it, it goes to Docketing the same day, without an intervening judgment about whether the date matters. If he calculates a period himself, he records how he calculated it, next to the conclusion, where a reviewer can find it. Through his first period every response he prepares is reviewed before filing, without exception. The review is of the record, not of him, and it does not end when he stops needing it. A firm this size has no second line of defense behind the docket, which is why the first one is enforced without discretion.</w:t>
      </w:r>
    </w:p>
    <w:p>
      <w:r>
        <w:t>Access to the files, the docket, and the firm's correspondence formats was arranged before his start date. Conflicts procedure and our confidentiality terms were covered on his first morning; both are conditions of employment rather than orientation material. Client material stays inside the firm's systems, and privileged work is marked privileged when it is written rather than when someone thinks to ask. If he is unsure whether he is authorized to send something, it comes to me before it is sent, not after. That instruction has no expiration date and applies with equal force in his fifth year here.</w:t>
      </w:r>
    </w:p>
    <w:p>
      <w:r>
        <w:t>Recorded by Mary Bradley, Managing Partner.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Richard Henderson</dc:title>
  <dc:subject/>
  <dc:creator>Mary Bradley</dc:creator>
  <cp:keywords/>
  <dc:description>generated by python-docx</dc:description>
  <cp:lastModifiedBy>Mary Bradley</cp:lastModifiedBy>
  <cp:revision>1</cp:revision>
  <dcterms:created xsi:type="dcterms:W3CDTF">2019-10-24T09:00:00Z</dcterms:created>
  <dcterms:modified xsi:type="dcterms:W3CDTF">2019-10-24T09:00:00Z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