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 Joseph Walker, Associate</w:t>
      </w:r>
    </w:p>
    <w:p>
      <w:r>
        <w:t>Joseph Walker starts today as an Associate in Prosecution. He came to us out of a practice where he had already learned the useful half of this job, which is asking a founder what was actually disclosed, to whom, and on what date, before telling anyone what can still be filed. He will carry that work here, and the group is better staffed for having someone who does it without being asked twice.</w:t>
      </w:r>
    </w:p>
    <w:p>
      <w:r>
        <w:t>His assignment is the startup side of the practice: drafting, prosecution, and the client correspondence that goes with it. The firm's expectation on correspondence is narrow and worth stating plainly. Short is welcome. A client who reads two sentences and stops should not be misled by the two sentences he read. The qualifications belong in the memorandum, and the memorandum is where the analysis lives; the email points at it. An update that reads as a conclusion because the hedge was cut for length is not shorter, it is wrong. Where a client wants the answer in the email, the email may point at the memorandum and say the answer is in it. That is not evasion; it is the difference between correspondence and an opinion, and the difference is one this firm charges for.</w:t>
      </w:r>
    </w:p>
    <w:p>
      <w:r>
        <w:t>Docket discipline applies to him on the same terms as everyone else. Dates come from the docket and go to the docket, and a client's assurance about a disclosure date is a fact to be confirmed, not a date to be relied on. Anything privileged is marked when it is written, not when someone asks. Scope questions arrive disguised as scheduling questions more often than not; when he finds one, it comes back to me before it is answered, because the answer may need a new engagement letter rather than a reply. A founder asking when something can be filed is frequently asking, without knowing it, whether we represent him on a thing we have not agreed to represent him on.</w:t>
      </w:r>
    </w:p>
    <w:p>
      <w:r>
        <w:t>File access, docket access, and the conflicts check on his prior engagements were completed before his start date. Mary Bradley will review his outbound client correspondence and his memoranda through his first period, and will keep reviewing the memoranda after the correspondence review ends. He should expect the review to add conditions and remove adjectives, and should not read either as a comment on the analysis underneath.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Joseph Walker</dc:title>
  <dc:subject/>
  <dc:creator>Mary Bradley</dc:creator>
  <cp:keywords/>
  <dc:description>generated by python-docx</dc:description>
  <cp:lastModifiedBy>Mary Bradley</cp:lastModifiedBy>
  <cp:revision>1</cp:revision>
  <dcterms:created xsi:type="dcterms:W3CDTF">2021-01-25T09:00:00Z</dcterms:created>
  <dcterms:modified xsi:type="dcterms:W3CDTF">2021-01-25T09:00:00Z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