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 Ashley Williams, Patent Agent</w:t>
      </w:r>
    </w:p>
    <w:p>
      <w:r>
        <w:t>Ashley Williams joins Prosecution today as a Patent Agent. On the evidence of her interviews she is the person in the group most likely to argue with the rest of it about a claim term, and to be right often enough to justify the time. The firm considers that a feature and has told her so, in writing, so that nobody later mistakes the tolerance for reluctance.</w:t>
      </w:r>
    </w:p>
    <w:p>
      <w:r>
        <w:t>Her work is drafting and prosecution, organized by family, and she should expect her files to be reviewed on that basis rather than matter by matter. She reads a claim term the way a hostile reader will read it in a proceeding some years from now, which is the correct way to read it and an inconvenient way to be edited. The firm's drafting standard is that the term has to survive a reader who is paid to break it, not satisfy a reader who is inclined to agree. Where she wants an hour on a word, she may have it, provided the docket is not paying for the hour. Where she wants everyone else's files reorganized to match hers, she should raise it in a portfolio review, where the firm can decide it once instead of arguing it per matter. Her objection to the word clearly is on the record and the firm shares it. A term that has to be called clear is a term someone expects to be contested.</w:t>
      </w:r>
    </w:p>
    <w:p>
      <w:r>
        <w:t>Her first period runs on the usual terms. Every date comes from the docket, and Docketing is confirmed before a period is relied on, not after a draft is complete. Her responses are reviewed before filing through the first period, and the review is of the filing rather than of her judgment, which the firm has already satisfied itself about or she would not be here. She writes internal notes in the same register as her client work, which she describes as declining to maintain two registers; the firm will not ask her to change that, and would rather the habit spread than be corrected. Internal notes at a boutique are read years later by people reconstructing a decision, occasionally under conditions nobody enjoys.</w:t>
      </w:r>
    </w:p>
    <w:p>
      <w:r>
        <w:t>File access, docket access, conflicts procedure, and confidentiality terms were completed before her start date, and her prior engagements were cleared before an offer went out rather than after. Questions about signature authority, or about anything she is not certain she is permitted to send, go to Mary Bradley in advance of sending it. The firm would rather answer the question twice than read the letter once it has gone.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Ashley Williams</dc:title>
  <dc:subject/>
  <dc:creator>Mary Bradley</dc:creator>
  <cp:keywords/>
  <dc:description>generated by python-docx</dc:description>
  <cp:lastModifiedBy>Mary Bradley</cp:lastModifiedBy>
  <cp:revision>1</cp:revision>
  <dcterms:created xsi:type="dcterms:W3CDTF">2021-02-10T09:00:00Z</dcterms:created>
  <dcterms:modified xsi:type="dcterms:W3CDTF">2021-02-10T09:00:00Z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