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Onboarding Record — Matthew Parrish, Patent Agent</w:t>
      </w:r>
    </w:p>
    <w:p>
      <w:r>
        <w:t>Matthew Parrish joins the prosecution group today as a Patent Agent. He was hired for the searching, which the group has been doing adequately and wants done properly, and he will spend a substantial share of his time in prior art rather than in drafting. That is the arrangement, not a phase of it, and nobody should be assigning him drafting work on the assumption that the searching is what he does until something better opens up.</w:t>
      </w:r>
    </w:p>
    <w:p>
      <w:r>
        <w:t>On freedom-to-operate work his contribution is the scope: what was searched, in what classes, over what period, and what was deliberately left outside the search. He is to write those sections so that no reader, including a reader with an interest in misreading them, can mistake a boundary for an opinion. The firm's position on unqualified infringement statements is not a preference. A sentence saying a product does not infringe, with nothing attached to it, is a drafting error and will be treated as one in review. Everything we write in that posture goes out under privilege and is marked accordingly at the time of writing.</w:t>
      </w:r>
    </w:p>
    <w:p>
      <w:r>
        <w:t>The ordinary terms apply, and they apply to him in the same words they were given to everyone else. Dates come from the docket, and a search that has not been booked against a date is a search nobody is expecting. Corrections go to Docketing the day he finds them rather than the week he finishes the matter, and his written work is reviewed before it leaves the firm through his first period. He has a stated habit of sending a follow-up note when he catches a detail after the fact. He should keep it. This firm would rather receive the correction late than not receive it, and would rather receive it in writing than hear it in a hallway. If he is quiet in a review and the review is wrong, the note afterward is not a courtesy. It is the work.</w:t>
      </w:r>
    </w:p>
    <w:p>
      <w:r>
        <w:t>File access, docket access, conflicts procedure, and confidentiality terms were completed before his start date. Mary Bradley will review his search scope sections and his memoranda through the first period, and any conclusion he is asked to state more firmly than the record supports should come back to her rather than be argued in the draft.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Matthew Parrish</dc:title>
  <dc:subject/>
  <dc:creator>Mary Bradley</dc:creator>
  <cp:keywords/>
  <dc:description>generated by python-docx</dc:description>
  <cp:lastModifiedBy>Mary Bradley</cp:lastModifiedBy>
  <cp:revision>1</cp:revision>
  <dcterms:created xsi:type="dcterms:W3CDTF">2023-01-14T09:00:00Z</dcterms:created>
  <dcterms:modified xsi:type="dcterms:W3CDTF">2023-01-14T09:00:00Z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