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David Chang</w:t>
      </w:r>
    </w:p>
    <w:p>
      <w:r>
        <w:t>Prepared by Mary Bradley, Managing Partner. For the personnel file and for the new hire's own reference.</w:t>
      </w:r>
    </w:p>
    <w:p>
      <w:r>
        <w:t>David Chang joins us as a Patent Agent in the Prosecution group. He comes in on the hardware side of the practice, which is where the work has been piling up, and he will be carrying live files rather than reading about them from the sidelines. I have told him as much already, so this record only puts it somewhere he can find it later.</w:t>
      </w:r>
    </w:p>
    <w:p>
      <w:r>
        <w:t>David sits with Prosecution and takes first-chair drafting on new families as they come in, with a partner signing out until both of us have seen enough of the work to stop looking. Inventor interviews are his to run. We do not treat the interview as a formality that precedes the drafting; it is the drafting, done out loud, and a disclosure that comes back thin is a problem to be solved then rather than at the response stage. His docket starts small. It will not stay small.</w:t>
      </w:r>
    </w:p>
    <w:p>
      <w:r>
        <w:t>First-period logistics and expectations:</w:t>
      </w:r>
    </w:p>
    <w:p>
      <w:pPr>
        <w:pStyle w:val="ListBullet"/>
      </w:pPr>
      <w:r>
        <w:t>Confirm in your first week that every family assigned to you appears on your docket list, and say so the same day if one does not. An entry you never saw is still an entry you missed.</w:t>
      </w:r>
    </w:p>
    <w:p>
      <w:pPr>
        <w:pStyle w:val="ListBullet"/>
      </w:pPr>
      <w:r>
        <w:t>Read the docketing procedures end to end before you rely on them. You should be able to read a due-date entry, and its calculation, without asking anyone.</w:t>
      </w:r>
    </w:p>
    <w:p>
      <w:pPr>
        <w:pStyle w:val="ListBullet"/>
      </w:pPr>
      <w:r>
        <w:t>Run the conflicts check before any substantive contact with an inventor or a client contact, including the informal kind.</w:t>
      </w:r>
    </w:p>
    <w:p>
      <w:pPr>
        <w:pStyle w:val="ListBullet"/>
      </w:pPr>
      <w:r>
        <w:t>Mark privileged work product as privileged when you create it, not when someone asks for it.</w:t>
      </w:r>
    </w:p>
    <w:p>
      <w:pPr>
        <w:pStyle w:val="ListBullet"/>
      </w:pPr>
      <w:r>
        <w:t>Enter your own time daily, against the matter and the docket number. Reconstructed time is an estimate, and we do not bill estimates.</w:t>
      </w:r>
    </w:p>
    <w:p>
      <w:pPr>
        <w:pStyle w:val="ListBullet"/>
      </w:pPr>
      <w:r>
        <w:t>Keep whatever parallel notes you keep. Nobody here will ask you to give them up, and I would rather you over-record a family than trust your memory of it.</w:t>
      </w:r>
    </w:p>
    <w:p>
      <w:r>
        <w:t>One expectation is not negotiable, and it is the only one worth putting in writing on your second day. We can absorb a weak argument, a rejection we did not expect, a client who disagrees with our read of a claim. We cannot absorb a missed date. If a deadline is at risk, you raise it while it is still a scheduling problem and there are options; you do not raise it afterward, when there is only a disclosure to make. No one at this firm has ever been criticized for flagging a date early, and no one ever will be.</w:t>
      </w:r>
    </w:p>
    <w:p>
      <w:r>
        <w:t>Welcome aboard. Questions about scope, conflicts, or anything a client will eventually read come to Mary directly, and they are never an interruption.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David Chang</dc:title>
  <dc:subject/>
  <dc:creator>Mary Bradley</dc:creator>
  <cp:keywords/>
  <dc:description>generated by python-docx</dc:description>
  <cp:lastModifiedBy>Mary Bradley</cp:lastModifiedBy>
  <cp:revision>1</cp:revision>
  <dcterms:created xsi:type="dcterms:W3CDTF">2024-03-02T09:00:00Z</dcterms:created>
  <dcterms:modified xsi:type="dcterms:W3CDTF">2024-03-02T09:00:00Z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