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Vice President of Engineering Search</w:t>
      </w:r>
    </w:p>
    <w:p>
      <w:r>
        <w:t>Prepared for the leadership of Coleman Ltd by Jeffrey Patterson, Research Consultant. This report covers the period since our last update and marks roughly the midpoint of the engagement.</w:t>
      </w:r>
    </w:p>
    <w:p>
      <w:pPr>
        <w:pStyle w:val="Heading2"/>
      </w:pPr>
      <w:r>
        <w:t>Where we stand</w:t>
      </w:r>
    </w:p>
    <w:p>
      <w:r>
        <w:t>The short version is that the search is on track. We have moved from mapping the market to working a live field of candidates, and we expect to bring you a first slate in the coming weeks. Nothing has arisen that changes our confidence in filling the role for Coleman Ltd well and on a sensible timeline. The rest of this report fills in that picture.</w:t>
      </w:r>
    </w:p>
    <w:p>
      <w:pPr>
        <w:pStyle w:val="Heading2"/>
      </w:pPr>
      <w:r>
        <w:t>What we have accomplished</w:t>
      </w:r>
    </w:p>
    <w:p>
      <w:r>
        <w:t>John Chang has completed the market map and built it into a long list that we are now actively working. The map reached wider than we first planned, into two adjacent sectors where the relevant leadership experience also sits, and that breadth has paid off in the quality of the names we are speaking with.</w:t>
      </w:r>
    </w:p>
    <w:p>
      <w:r>
        <w:t>James Grant has led the assessment of the strongest candidates against the specification. He has held first exploratory conversations with several of them, all conducted discreetly and, as always, with candidates described by their current role rather than by name in anything we circulate. Those conversations have told us as much about who to pursue harder as about who to set aside.</w:t>
      </w:r>
    </w:p>
    <w:p>
      <w:r>
        <w:t>For my part, I have kept the threads moving and the scheduling clean, which at this stage is most of the work. A search of this kind lives or dies on follow-up, and no candidate we care about has been left waiting on us for an answer.</w:t>
      </w:r>
    </w:p>
    <w:p>
      <w:r>
        <w:t>One useful outcome of the early conversations is that they have tested the specification against real people. The brief has held up well. Nothing we have heard has sent us back to redraw the role, which tells us the kickoff work was sound and that the field we are building is the right one to be building. Where a candidate has fallen short, it has been on a clear line in the brief rather than on a vague sense of fit.</w:t>
      </w:r>
    </w:p>
    <w:p>
      <w:pPr>
        <w:pStyle w:val="Heading2"/>
      </w:pPr>
      <w:r>
        <w:t>The budget</w:t>
      </w:r>
    </w:p>
    <w:p>
      <w:r>
        <w:t>The engagement remains within its agreed terms. Our fixed professional fee of $105,000 covers the search through to placement, and we do not foresee any additional cost beyond the modest, pre-agreed out-of-pocket items. You should expect no surprises on the invoice, and we will flag anything unusual well before it reaches one.</w:t>
      </w:r>
    </w:p>
    <w:p>
      <w:pPr>
        <w:pStyle w:val="Heading2"/>
      </w:pPr>
      <w:r>
        <w:t>What comes next</w:t>
      </w:r>
    </w:p>
    <w:p>
      <w:r>
        <w:t>Over the next several weeks we will bring the current approaches to a close and narrow the long list to a shortlist we are prepared to stand behind. We will then complete a first round of references on the leading candidates before presenting a slate, so that when you meet them you are meeting people we have already checked. We will hold to our regular rhythm of updates throughout, and I will confirm the date of the slate presentation as soon as it is firm.</w:t>
      </w:r>
    </w:p>
    <w:p>
      <w:r>
        <w:t>When the slate is ready, we will present each candidate with a written summary and our own read on strengths and risks, still by current role until you have decided to proceed. We will suggest an interview order and handle the scheduling from our side. All we will ask of you at that point is a small, consistent panel and prompt feedback after each conversation, since a slate goes stale quickly if it is left to sit.</w:t>
      </w:r>
    </w:p>
    <w:p>
      <w:pPr>
        <w:pStyle w:val="Heading2"/>
      </w:pPr>
      <w:r>
        <w:t>What we are watching</w:t>
      </w:r>
    </w:p>
    <w:p>
      <w:r>
        <w:t>Two risks deserve mention, neither of them pressing. The first is availability: one or two of the most attractive candidates sit in roles they are not obviously looking to leave, and moving them will take patience. The second is notice periods, which can add time at the end of a search that looks fast in the middle. We are managing both by keeping the field wider than we strictly need until the shortlist is firm.</w:t>
      </w:r>
    </w:p>
    <w:p>
      <w:r>
        <w:t>There is also the constant of confidentiality. The people we are speaking with have not, as a rule, told their current employers, and we protect that carefully. It is the reason we ask that Coleman Ltd hold the same discretion on candidate identities that we do. So far the process has stayed tight, and we intend to keep it that way.</w:t>
      </w:r>
    </w:p>
    <w:p>
      <w:r>
        <w:t>In short, the search is where it should be at the halfway mark, and the next milestone is the shortlist. James Grant and John Chang will bring the field to that point over the coming weeks, and I will keep you posted the moment there is something firm to share.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VP Engineering Search for Coleman Ltd</dc:title>
  <dc:subject/>
  <dc:creator>Jeffrey Patterson</dc:creator>
  <cp:keywords/>
  <dc:description>generated by python-docx</dc:description>
  <cp:lastModifiedBy>Jeffrey Patterson</cp:lastModifiedBy>
  <cp:revision>1</cp:revision>
  <dcterms:created xsi:type="dcterms:W3CDTF">2016-06-18T09:00:00Z</dcterms:created>
  <dcterms:modified xsi:type="dcterms:W3CDTF">2016-06-18T09:00:00Z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