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Vice President of Engineering Search</w:t>
      </w:r>
    </w:p>
    <w:p>
      <w:r>
        <w:t>These minutes record our working session on the Vice President of Engineering search, held as the field narrowed to its final candidates. The firm's search team met with our client, Coleman Ltd, to take stock and to agree how the closing weeks should run. The mood was practical, as it tends to be once a search is well advanced.</w:t>
      </w:r>
    </w:p>
    <w:p>
      <w:pPr>
        <w:pStyle w:val="Heading2"/>
      </w:pPr>
      <w:r>
        <w:t>Present</w:t>
      </w:r>
    </w:p>
    <w:p>
      <w:pPr>
        <w:pStyle w:val="ListBullet"/>
      </w:pPr>
      <w:r>
        <w:t>John Chang, Research Associate</w:t>
      </w:r>
    </w:p>
    <w:p>
      <w:pPr>
        <w:pStyle w:val="ListBullet"/>
      </w:pPr>
      <w:r>
        <w:t>Jeffrey Patterson, Research Consultant</w:t>
      </w:r>
    </w:p>
    <w:p>
      <w:pPr>
        <w:pStyle w:val="ListBullet"/>
      </w:pPr>
      <w:r>
        <w:t>James Grant, Senior Consultant</w:t>
      </w:r>
    </w:p>
    <w:p>
      <w:pPr>
        <w:pStyle w:val="ListBullet"/>
      </w:pPr>
      <w:r>
        <w:t>Michael Martin, Chief Operating Officer, Coleman Ltd</w:t>
      </w:r>
    </w:p>
    <w:p>
      <w:pPr>
        <w:pStyle w:val="Heading2"/>
      </w:pPr>
      <w:r>
        <w:t>Where the search stands</w:t>
      </w:r>
    </w:p>
    <w:p>
      <w:r>
        <w:t>We began with a brief recap of the slate. Two candidates remain in serious contention, and we discussed each by current role, as we do while a search is live. The first is the engineering lead at a regional logistics group; the second, a divisional Vice President of Engineering at a listed software company.</w:t>
      </w:r>
    </w:p>
    <w:p>
      <w:r>
        <w:t>A third name we had carried into the final round stepped aside a fortnight ago, citing timing on his own side, which is why the field now sits at two. James Grant observed that the remaining pair had held up well through the client interviews. Neither has given us cause for concern on availability, which is not always the case this late.</w:t>
      </w:r>
    </w:p>
    <w:p>
      <w:r>
        <w:t>For context, the search moved from a broad long list to this final pairing over the course of the summer, and the client's brief has held steady throughout. That stability has made the closing stage more orderly than most searches of this kind. We are now firmly in the phase of choosing between known finalists, not of widening the field.</w:t>
      </w:r>
    </w:p>
    <w:p>
      <w:pPr>
        <w:pStyle w:val="Heading2"/>
      </w:pPr>
      <w:r>
        <w:t>The client's read</w:t>
      </w:r>
    </w:p>
    <w:p>
      <w:r>
        <w:t>Michael Martin offered his impressions from the final round. He was measured, as he has been throughout, and drew a careful line between the two finalists. In his reading the logistics candidate is the stronger operator, while the software candidate may prove the better fit for how his leadership team works.</w:t>
      </w:r>
    </w:p>
    <w:p>
      <w:r>
        <w:t>He asked that we not force a ranking before the references are complete, and we agreed the references should carry real weight here. John Chang confirmed that the market read is finished and that no stronger name has surfaced in recent weeks, which gives us confidence the choice lies genuinely between these two.</w:t>
      </w:r>
    </w:p>
    <w:p>
      <w:pPr>
        <w:pStyle w:val="Heading2"/>
      </w:pPr>
      <w:r>
        <w:t>References and the road to an offer</w:t>
      </w:r>
    </w:p>
    <w:p>
      <w:r>
        <w:t>Jeffrey Patterson took us through the reference plan. Each finalist will be checked with referees who have seen them lead at scale, and the inquiries will stay discreet, since neither has spoken to a current employer. James Grant will shape the questions around the client's specific concerns rather than a generic script.</w:t>
      </w:r>
    </w:p>
    <w:p>
      <w:r>
        <w:t>One question stayed open. Michael Martin asked whether the notice period of the logistics candidate might delay a start, and we agreed to confirm this discreetly during the reference stage instead of raising it with the candidate at this point. Nothing about it should be left to surface after an offer is made.</w:t>
      </w:r>
    </w:p>
    <w:p>
      <w:r>
        <w:t>On timing, we held off setting an offer date until the references return. Michael Martin will confirm the compensation band with his board in parallel, so that we can move quickly once a decision is made rather than lose days to internal alignment.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Item</w:t>
            </w:r>
          </w:p>
        </w:tc>
        <w:tc>
          <w:tcPr>
            <w:tcW w:type="dxa" w:w="2880"/>
          </w:tcPr>
          <w:p>
            <w:r>
              <w:rPr>
                <w:b/>
              </w:rPr>
              <w:t>Timing</w:t>
            </w:r>
          </w:p>
        </w:tc>
      </w:tr>
      <w:tr>
        <w:tc>
          <w:tcPr>
            <w:tcW w:type="dxa" w:w="2880"/>
          </w:tcPr>
          <w:p>
            <w:r>
              <w:t>James Grant</w:t>
            </w:r>
          </w:p>
        </w:tc>
        <w:tc>
          <w:tcPr>
            <w:tcW w:type="dxa" w:w="2880"/>
          </w:tcPr>
          <w:p>
            <w:r>
              <w:t>Draft the reference framework around the client's concerns and open outreach to referees for both finalists</w:t>
            </w:r>
          </w:p>
        </w:tc>
        <w:tc>
          <w:tcPr>
            <w:tcW w:type="dxa" w:w="2880"/>
          </w:tcPr>
          <w:p>
            <w:r>
              <w:t>This week</w:t>
            </w:r>
          </w:p>
        </w:tc>
      </w:tr>
      <w:tr>
        <w:tc>
          <w:tcPr>
            <w:tcW w:type="dxa" w:w="2880"/>
          </w:tcPr>
          <w:p>
            <w:r>
              <w:t>Jeffrey Patterson</w:t>
            </w:r>
          </w:p>
        </w:tc>
        <w:tc>
          <w:tcPr>
            <w:tcW w:type="dxa" w:w="2880"/>
          </w:tcPr>
          <w:p>
            <w:r>
              <w:t>Arrange the reference calls and hold a provisional slot for the final decision</w:t>
            </w:r>
          </w:p>
        </w:tc>
        <w:tc>
          <w:tcPr>
            <w:tcW w:type="dxa" w:w="2880"/>
          </w:tcPr>
          <w:p>
            <w:r>
              <w:t>Ahead of the next call</w:t>
            </w:r>
          </w:p>
        </w:tc>
      </w:tr>
      <w:tr>
        <w:tc>
          <w:tcPr>
            <w:tcW w:type="dxa" w:w="2880"/>
          </w:tcPr>
          <w:p>
            <w:r>
              <w:t>John Chang</w:t>
            </w:r>
          </w:p>
        </w:tc>
        <w:tc>
          <w:tcPr>
            <w:tcW w:type="dxa" w:w="2880"/>
          </w:tcPr>
          <w:p>
            <w:r>
              <w:t>Update the slate summary to the two finalists and confirm no further candidate warrants a second look</w:t>
            </w:r>
          </w:p>
        </w:tc>
        <w:tc>
          <w:tcPr>
            <w:tcW w:type="dxa" w:w="2880"/>
          </w:tcPr>
          <w:p>
            <w:r>
              <w:t>This week</w:t>
            </w:r>
          </w:p>
        </w:tc>
      </w:tr>
      <w:tr>
        <w:tc>
          <w:tcPr>
            <w:tcW w:type="dxa" w:w="2880"/>
          </w:tcPr>
          <w:p>
            <w:r>
              <w:t>Michael Martin</w:t>
            </w:r>
          </w:p>
        </w:tc>
        <w:tc>
          <w:tcPr>
            <w:tcW w:type="dxa" w:w="2880"/>
          </w:tcPr>
          <w:p>
            <w:r>
              <w:t>Confirm the compensation band and offer authority with the board</w:t>
            </w:r>
          </w:p>
        </w:tc>
        <w:tc>
          <w:tcPr>
            <w:tcW w:type="dxa" w:w="2880"/>
          </w:tcPr>
          <w:p>
            <w:r>
              <w:t>Before references close</w:t>
            </w:r>
          </w:p>
        </w:tc>
      </w:tr>
    </w:tbl>
    <w:p>
      <w:r>
        <w:t>Our single priority before we next speak is to complete the reference checks on both finalists. Everything that follows, including when an offer goes out, rests on what those conversations return.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VP Engineering Search for Coleman Ltd</dc:title>
  <dc:subject/>
  <dc:creator>John Chang</dc:creator>
  <cp:keywords/>
  <dc:description>generated by python-docx</dc:description>
  <cp:lastModifiedBy>John Chang</cp:lastModifiedBy>
  <cp:revision>1</cp:revision>
  <dcterms:created xsi:type="dcterms:W3CDTF">2016-08-26T09:00:00Z</dcterms:created>
  <dcterms:modified xsi:type="dcterms:W3CDTF">2016-08-26T09:00:00Z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