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Engagement Kickoff</w:t>
      </w:r>
    </w:p>
    <w:p>
      <w:r>
        <w:t>To: Sandra Fuentes, Heather Meyer</w:t>
        <w:br/>
        <w:t>From: David Weiss</w:t>
        <w:br/>
        <w:t>Re: Compensation benchmarking for Hicks-Castillo, engagement kickoff</w:t>
      </w:r>
    </w:p>
    <w:p>
      <w:r>
        <w:t>The objective of this engagement is straightforward, and it is worth stating before anything else: we are to give Hicks-Castillo a defensible, role-by-role picture of where its senior compensation stands against a peer group we can stand behind. Everything we do over the coming months serves that single end, and every choice we make about data and method should be judged against whether it makes that picture more honest or less. The engagement is now under way as of March 25, 2023, and our client contact throughout is David Mcgee, the General Manager, who has asked for findings his board can act on rather than a survey dump.</w:t>
      </w:r>
    </w:p>
    <w:p>
      <w:r>
        <w:t>Sandra Fuentes leads the engagement and owns the client relationship, while the two of us on the research bench carry the data. Because the quality of a benchmark lives entirely in the peer group and the cleanliness of the underlying figures, the early phase is where a study like this is won or lost, and that is where our attention has to go first, before any figure is pulled.</w:t>
      </w:r>
    </w:p>
    <w:p>
      <w:r>
        <w:t>The client's concern, as David Mcgee framed it at the outset, is competitive: he believes the company may be losing operating leaders on pay and wants to know whether that instinct is borne out by the market before the board sets next year's compensation. That gives the study a clear question to answer, and it tells us where to press hardest, on incentive and total compensation for the operating-leader roles rather than on base pay taken alone.</w:t>
      </w:r>
    </w:p>
    <w:p>
      <w:pPr>
        <w:pStyle w:val="Heading2"/>
      </w:pPr>
      <w:r>
        <w:t>The Work Ahead</w:t>
      </w:r>
    </w:p>
    <w:p>
      <w:pPr>
        <w:pStyle w:val="ListBullet"/>
      </w:pPr>
      <w:r>
        <w:t>Scope and peer group: with Sandra, confirm the roles in view and assemble a defensible list of comparator companies, so that every later number rests on an agreed foundation.</w:t>
      </w:r>
    </w:p>
    <w:p>
      <w:pPr>
        <w:pStyle w:val="ListBullet"/>
      </w:pPr>
      <w:r>
        <w:t>Survey and source assembly: gather the relevant published compensation surveys for the sectors and geographies in scope, and log each source with its date and coverage so the analysis stays auditable.</w:t>
      </w:r>
    </w:p>
    <w:p>
      <w:pPr>
        <w:pStyle w:val="ListBullet"/>
      </w:pPr>
      <w:r>
        <w:t>Firsthand market read: draw on what the firm sees directly in placing senior operators, treated in aggregate, to sense-check the published figures against a live market.</w:t>
      </w:r>
    </w:p>
    <w:p>
      <w:pPr>
        <w:pStyle w:val="ListBullet"/>
      </w:pPr>
      <w:r>
        <w:t>Normalization: reconcile titles, role scope, and pay definitions across sources, because a general manager in one survey is not always a general manager in another.</w:t>
      </w:r>
    </w:p>
    <w:p>
      <w:pPr>
        <w:pStyle w:val="ListBullet"/>
      </w:pPr>
      <w:r>
        <w:t>Analysis and drafting: build the role-by-role comparison across base, incentive, and total compensation, and draft the findings for Sandra's review.</w:t>
      </w:r>
    </w:p>
    <w:p>
      <w:r>
        <w:t>A note on sequence: the peer group has to settle before the data build begins in earnest, because rework at that stage is expensive and every downstream number inherits the comparison set. We should hold off on pulling figures until the scope is signed off, however ready the sources look, since a clean start is what keeps the second half calm.</w:t>
      </w:r>
    </w:p>
    <w:p>
      <w:pPr>
        <w:pStyle w:val="Heading2"/>
      </w:pPr>
      <w:r>
        <w:t>First Steps</w:t>
      </w:r>
    </w:p>
    <w:p>
      <w:pPr>
        <w:pStyle w:val="ListBullet"/>
      </w:pPr>
      <w:r>
        <w:t>Heather Meyer to begin the comparator long list this week and circulate a first draft for Sandra's review by the end of next week.</w:t>
      </w:r>
    </w:p>
    <w:p>
      <w:pPr>
        <w:pStyle w:val="ListBullet"/>
      </w:pPr>
      <w:r>
        <w:t>David Weiss to pull the survey inventory and confirm which sources we already hold and which we must acquire, flagging any that need the client's agreement to purchase.</w:t>
      </w:r>
    </w:p>
    <w:p>
      <w:pPr>
        <w:pStyle w:val="ListBullet"/>
      </w:pPr>
      <w:r>
        <w:t>Sandra Fuentes to set the first client checkpoint with David Mcgee so the scope and peer group are agreed before we commit to the data build.</w:t>
      </w:r>
    </w:p>
    <w:p>
      <w:r>
        <w:t>That is enough to start. I will keep a running log of sources and decisions so that anyone picking up a thread can see how we got there. Questions to 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Compensation Benchmarking for Hicks-Castillo</dc:title>
  <dc:subject/>
  <dc:creator>David Weiss</dc:creator>
  <cp:keywords/>
  <dc:description>generated by python-docx</dc:description>
  <cp:lastModifiedBy>David Weiss</cp:lastModifiedBy>
  <cp:revision>1</cp:revision>
  <dcterms:created xsi:type="dcterms:W3CDTF">2023-03-28T09:00:00Z</dcterms:created>
  <dcterms:modified xsi:type="dcterms:W3CDTF">2023-03-28T09:00:00Z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