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Compensation Benchmarking</w:t>
      </w:r>
    </w:p>
    <w:p>
      <w:r>
        <w:t>Prepared for Hicks-Castillo. Prepared by David Weiss, with Sandra Fuentes as engagement lead. This report covers the reporting period just ended and reflects the state of the engagement at its midpoint.</w:t>
      </w:r>
    </w:p>
    <w:p>
      <w:pPr>
        <w:pStyle w:val="Heading2"/>
      </w:pPr>
      <w:r>
        <w:t>Where the Engagement Stands</w:t>
      </w:r>
    </w:p>
    <w:p>
      <w:r>
        <w:t>The engagement for Hicks-Castillo is on schedule and has reached its midpoint. The comparator peer group is agreed with the client, the source data is assembled and logged, and the analysis phase is under way. Nothing at this stage puts the timeline or the quality of the findings at risk.</w:t>
      </w:r>
    </w:p>
    <w:p>
      <w:r>
        <w:t>The midpoint is a meaningful marker on a study like this, because most of what determines whether a benchmark can be trusted is decided in the first half, in the choice of peers and the discipline of the source assembly. That work is now done and agreed with the client, which means the second half is a matter of careful analysis on a foundation that has already been validated rather than a scramble to settle open questions late.</w:t>
      </w:r>
    </w:p>
    <w:p>
      <w:r>
        <w:t>This period also included a working session with the client to review progress and confirm the peer group in person. Sandra Fuentes led that session. The client validated the comparator set and raised two additions, both of which we assessed and folded in. That review matters more than it looks, because the peer group is the one input the whole benchmark cannot be corrected for later, and it now carries the client's explicit sign-off.</w:t>
      </w:r>
    </w:p>
    <w:p>
      <w:r>
        <w:t>Work remains within the agreed fixed fee of $75,000. The engagement is tracking to budget with no variance to report, and we do not foresee any pass-through costs beyond the ones already discussed and agreed.</w:t>
      </w:r>
    </w:p>
    <w:p>
      <w:pPr>
        <w:pStyle w:val="Heading2"/>
      </w:pPr>
      <w:r>
        <w:t>Completed This Period</w:t>
      </w:r>
    </w:p>
    <w:p>
      <w:r>
        <w:t>The first half of the engagement produced the foundation the analysis will rest on. In summary:</w:t>
      </w:r>
    </w:p>
    <w:p>
      <w:pPr>
        <w:pStyle w:val="ListBullet"/>
      </w:pPr>
      <w:r>
        <w:t>Finalized the comparator peer group with the client, including the two additions raised at the midpoint working session, and locked it as the agreed basis for every downstream comparison.</w:t>
      </w:r>
    </w:p>
    <w:p>
      <w:pPr>
        <w:pStyle w:val="ListBullet"/>
      </w:pPr>
      <w:r>
        <w:t>Completed the assembly and logging of the published compensation surveys covering the roles and markets in scope, each recorded with its source, publication date, and coverage, so that every figure in the final report can be traced back to where it came from.</w:t>
      </w:r>
    </w:p>
    <w:p>
      <w:pPr>
        <w:pStyle w:val="ListBullet"/>
      </w:pPr>
      <w:r>
        <w:t>Assembled the firm's own firsthand read of the senior compensation market, in aggregate and with no individual identifiable, drawn from recent placement work, and used it as an independent check on the published surveys.</w:t>
      </w:r>
    </w:p>
    <w:p>
      <w:pPr>
        <w:pStyle w:val="ListBullet"/>
      </w:pPr>
      <w:r>
        <w:t>Advanced the normalization of titles, role scope, and pay definitions across the sources, which is roughly two-thirds complete and on course to finish early in the coming period.</w:t>
      </w:r>
    </w:p>
    <w:p>
      <w:r>
        <w:t>Taken together, the first half leaves us with a validated peer group, a logged and traceable body of source data, and an independent firsthand check against it. That is the whole reason for front-loading the discipline: the figures the board eventually sees will each carry a clear provenance, and none of them will rest on a comparison the client has not already reviewed and agreed.</w:t>
      </w:r>
    </w:p>
    <w:p>
      <w:pPr>
        <w:pStyle w:val="Heading2"/>
      </w:pPr>
      <w:r>
        <w:t>The Period Ahead</w:t>
      </w:r>
    </w:p>
    <w:p>
      <w:r>
        <w:t>The second half turns that foundation into findings. The planned work is as follows:</w:t>
      </w:r>
    </w:p>
    <w:p>
      <w:pPr>
        <w:pStyle w:val="ListBullet"/>
      </w:pPr>
      <w:r>
        <w:t>Complete the normalization and resolve the small number of client roles that do not map cleanly onto any standard survey title, using a documented judgment rather than a forced match.</w:t>
      </w:r>
    </w:p>
    <w:p>
      <w:pPr>
        <w:pStyle w:val="ListBullet"/>
      </w:pPr>
      <w:r>
        <w:t>Build the role-by-role comparison across base pay, short-term incentive, and total compensation, so that no single blended figure hides a difference the board would want to see.</w:t>
      </w:r>
    </w:p>
    <w:p>
      <w:pPr>
        <w:pStyle w:val="ListBullet"/>
      </w:pPr>
      <w:r>
        <w:t>Produce the first draft analytical cuts for Sandra Fuentes to review, in full, before any figure is shared with the client.</w:t>
      </w:r>
    </w:p>
    <w:p>
      <w:pPr>
        <w:pStyle w:val="ListBullet"/>
      </w:pPr>
      <w:r>
        <w:t>Schedule the next client checkpoint once the first comparative cuts are ready, so the client sees the shape of the findings before the report is drafted.</w:t>
      </w:r>
    </w:p>
    <w:p>
      <w:pPr>
        <w:pStyle w:val="Heading2"/>
      </w:pPr>
      <w:r>
        <w:t>Risks and Watch Items</w:t>
      </w:r>
    </w:p>
    <w:p>
      <w:r>
        <w:t>One item is worth flagging, and it is a question of method rather than schedule. A few of the client's operating-leader roles carry a scope that does not correspond cleanly to any single survey benchmark, and mapping them to a nearest match would introduce a quiet distortion into the totals. We are handling those roles with an explicit, documented judgment call, and we will show the client the reasoning openly when we present the findings rather than presenting a false precision.</w:t>
      </w:r>
    </w:p>
    <w:p>
      <w:r>
        <w:t>No other risks are open at this time. The survey sources we depend on have published on schedule, the client has been prompt and clear on every question of scope, and the fixed fee leaves no commercial question hanging over the work.</w:t>
      </w:r>
    </w:p>
    <w:p>
      <w:r>
        <w:t>The next report will follow the completion of the first full comparative analysis. Any questions on the above can come to me directly, or to Sandra Fuentes.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Compensation Benchmarking for Hicks-Castillo</dc:title>
  <dc:subject/>
  <dc:creator>David Weiss</dc:creator>
  <cp:keywords/>
  <dc:description>generated by python-docx</dc:description>
  <cp:lastModifiedBy>David Weiss</cp:lastModifiedBy>
  <cp:revision>1</cp:revision>
  <dcterms:created xsi:type="dcterms:W3CDTF">2023-07-29T09:00:00Z</dcterms:created>
  <dcterms:modified xsi:type="dcterms:W3CDTF">2023-07-29T09:00:00Z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