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Final Status Report: Compensation Benchmarking</w:t>
      </w:r>
    </w:p>
    <w:p>
      <w:r>
        <w:t>Prepared for Hicks-Castillo. Prepared by David Weiss, with Sandra Fuentes as engagement lead. This is the final status report for the engagement.</w:t>
      </w:r>
    </w:p>
    <w:p>
      <w:pPr>
        <w:pStyle w:val="Heading2"/>
      </w:pPr>
      <w:r>
        <w:t>Summary</w:t>
      </w:r>
    </w:p>
    <w:p>
      <w:r>
        <w:t>The engagement for Hicks-Castillo is complete in substance. The final report has been delivered, the findings have been presented to the board, and the recommendations are in the client's hands. What remains is administrative: the closing invoice and the handover of the source file.</w:t>
      </w:r>
    </w:p>
    <w:p>
      <w:r>
        <w:t>The purpose of this report is to close the engagement cleanly, to record what was delivered against what was agreed, and to leave the client with a clear account of where the numbers are firm and where they rest on documented judgment. There are no open questions of substance and no surprises in the closing.</w:t>
      </w:r>
    </w:p>
    <w:p>
      <w:r>
        <w:t>The work was delivered within the agreed fixed fee of $75,000, with no overrun and no pass-through charges. The only commercial item outstanding is the final invoice against that fee.</w:t>
      </w:r>
    </w:p>
    <w:p>
      <w:pPr>
        <w:pStyle w:val="Heading2"/>
      </w:pPr>
      <w:r>
        <w:t>Delivered This Period</w:t>
      </w:r>
    </w:p>
    <w:p>
      <w:r>
        <w:t>The final period turned the analysis into delivered work product. In summary:</w:t>
      </w:r>
    </w:p>
    <w:p>
      <w:pPr>
        <w:pStyle w:val="ListBullet"/>
      </w:pPr>
      <w:r>
        <w:t>Completed the role-by-role compensation comparison across base pay, short-term incentive, and total compensation for every role in scope.</w:t>
      </w:r>
    </w:p>
    <w:p>
      <w:pPr>
        <w:pStyle w:val="ListBullet"/>
      </w:pPr>
      <w:r>
        <w:t>Delivered the final written report, including the explicit and documented treatment of the two operating-leader roles that do not map cleanly onto any standard benchmark.</w:t>
      </w:r>
    </w:p>
    <w:p>
      <w:pPr>
        <w:pStyle w:val="ListBullet"/>
      </w:pPr>
      <w:r>
        <w:t>Presented the findings to the board, leading with total compensation for the operating leaders as the client asked, and identifying the comparator companies by sector and size band rather than by name, consistent with the confidences under which the data was gathered.</w:t>
      </w:r>
    </w:p>
    <w:p>
      <w:pPr>
        <w:pStyle w:val="ListBullet"/>
      </w:pPr>
      <w:r>
        <w:t>Handed over the underlying source inventory, so that for every figure in the report the client can see the source, its date, and its coverage.</w:t>
      </w:r>
    </w:p>
    <w:p>
      <w:r>
        <w:t>The board session went as we had hoped. The directors engaged with the total-compensation comparison directly, asked hard questions about the size of the incentive gap and how firm the underlying numbers were, and left with a shared reading of where the company stands rather than a report to work through later. I prepared the comparison material with the bench, and Sandra Fuentes led the discussion in the room, which is the division of labor that has served this engagement from the start.</w:t>
      </w:r>
    </w:p>
    <w:p>
      <w:r>
        <w:t>The handover deserves a note of its own. Every figure in the report ties back to a logged source, and the client now holds that inventory in full. That means the client can rely on the benchmark, test any number in it, and refresh the whole study a year or two from now without depending on us to reconstruct where a figure came from. That auditability was a design choice from the first week, and it is the part of the delivery I am most confident will hold up over time.</w:t>
      </w:r>
    </w:p>
    <w:p>
      <w:pPr>
        <w:pStyle w:val="Heading2"/>
      </w:pPr>
      <w:r>
        <w:t>Findings, in Brief</w:t>
      </w:r>
    </w:p>
    <w:p>
      <w:r>
        <w:t>The detail belongs in the report, but the shape is worth restating for the record. The client's base pay for its operating leaders sits within the market range, while total compensation runs below the peer median, and the gap is driven mostly by a lighter incentive component than comparable companies carry rather than by base pay. The two roles we had flagged as hard to benchmark were handled by explicit judgment rather than forced comparison, and the report is candid throughout about where a figure is firm and where it rests on that judgment. Where the survey calendars did not line up with the client's own, the affected figures are annotated so no comparison is read across mismatched periods by accident.</w:t>
      </w:r>
    </w:p>
    <w:p>
      <w:pPr>
        <w:pStyle w:val="Heading2"/>
      </w:pPr>
      <w:r>
        <w:t>Closing Items</w:t>
      </w:r>
    </w:p>
    <w:p>
      <w:pPr>
        <w:pStyle w:val="ListBullet"/>
      </w:pPr>
      <w:r>
        <w:t>Issue the final invoice against the agreed fixed fee.</w:t>
      </w:r>
    </w:p>
    <w:p>
      <w:pPr>
        <w:pStyle w:val="ListBullet"/>
      </w:pPr>
      <w:r>
        <w:t>Confirm the client has everything it needs from the source file, and close the engagement record.</w:t>
      </w:r>
    </w:p>
    <w:p>
      <w:pPr>
        <w:pStyle w:val="Heading2"/>
      </w:pPr>
      <w:r>
        <w:t>Risks</w:t>
      </w:r>
    </w:p>
    <w:p>
      <w:r>
        <w:t>None open. The report is delivered and accepted, the board presentation is given, and nothing on the engagement is unresolved. Should the board decide it wants follow-on work, whether a refresh of the benchmark or a deeper look at the incentive design, that would be a fresh engagement and a new conversation with Sandra Fuentes, not a continuation of this one.</w:t>
      </w:r>
    </w:p>
    <w:p>
      <w:r>
        <w:t>This has been a straightforward engagement to work and a clean one to close, and the credit for that belongs in large part to a client who gave us honest access and candid answers. My thanks to the client for both. Any questions on this report can come to me or to Sandra Fuentes.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Compensation Benchmarking for Hicks-Castillo</dc:title>
  <dc:subject/>
  <dc:creator>David Weiss</dc:creator>
  <cp:keywords/>
  <dc:description>generated by python-docx</dc:description>
  <cp:lastModifiedBy>David Weiss</cp:lastModifiedBy>
  <cp:revision>1</cp:revision>
  <dcterms:created xsi:type="dcterms:W3CDTF">2023-11-26T09:00:00Z</dcterms:created>
  <dcterms:modified xsi:type="dcterms:W3CDTF">2023-11-26T09:00:00Z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