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Working Session Minutes: Compensation Benchmarking for Hicks-Castillo</w:t>
      </w:r>
    </w:p>
    <w:p>
      <w:r>
        <w:t>A working session held at the client's offices to review progress at the midpoint of the study and to align on the shape of the analysis before we build it out. The following were present:</w:t>
      </w:r>
    </w:p>
    <w:p>
      <w:pPr>
        <w:pStyle w:val="ListBullet"/>
      </w:pPr>
      <w:r>
        <w:t>Sandra Fuentes, Principal, Northgate Talent Partners</w:t>
      </w:r>
    </w:p>
    <w:p>
      <w:pPr>
        <w:pStyle w:val="ListBullet"/>
      </w:pPr>
      <w:r>
        <w:t>David Weiss, Research Associate, Northgate Talent Partners</w:t>
      </w:r>
    </w:p>
    <w:p>
      <w:pPr>
        <w:pStyle w:val="ListBullet"/>
      </w:pPr>
      <w:r>
        <w:t>David Mcgee, General Manager, Hicks-Castillo</w:t>
      </w:r>
    </w:p>
    <w:p>
      <w:r>
        <w:t>The headline from the session is that we are on track and the peer group is holding up well, which is the single thing that most determines whether the final numbers will be trusted. We walked David Mcgee through the comparator set we have assembled for Hicks-Castillo and the reasoning behind each inclusion, and he confirmed that the companies match the ones his team competes with for senior talent in practice, with two additions he asked us to weigh before the set is locked.</w:t>
      </w:r>
    </w:p>
    <w:p>
      <w:r>
        <w:t>David Weiss then summarized the state of the data, which is further along than the halfway mark might suggest. The published surveys for the roles in scope are in hand and logged, the firsthand read from the firm's own placement work is assembled in aggregate, and the normalization of titles and pay definitions across sources is under way, which is the slow, unglamorous part of the work that makes the comparisons honest. We were candid with the client that a few of his roles do not map cleanly onto standard survey titles, and we talked through how we mean to handle those before they quietly distort a total.</w:t>
      </w:r>
    </w:p>
    <w:p>
      <w:r>
        <w:t>We also settled how to treat the survey timing, since two of the sources report on a different fiscal calendar than the client's, and comparing across mismatched periods without noting it would quietly weaken an otherwise sound result. David Weiss will annotate those figures as the analysis is built, so the difference stays visible rather than buried, and the client asked us to carry the same caution into anything that eventually reaches the board.</w:t>
      </w:r>
    </w:p>
    <w:p>
      <w:r>
        <w:t>We spent the back half of the session on what the client most wants to be able to decide once the findings are in. David Mcgee was clear that the board's interest is less in a single market-median figure and more in where the company sits on incentive and on total compensation for its operating leaders, and we agreed to shape the analysis and the eventual report around that emphasis. Nothing in that changes the scope we set out under; it simply sharpens where we spend the analytical effort through the second half of the study.</w:t>
      </w:r>
    </w:p>
    <w:p>
      <w:pPr>
        <w:pStyle w:val="Heading2"/>
      </w:pPr>
      <w:r>
        <w:t>What We Agreed to Do</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Owner</w:t>
            </w:r>
          </w:p>
        </w:tc>
        <w:tc>
          <w:tcPr>
            <w:tcW w:type="dxa" w:w="2880"/>
          </w:tcPr>
          <w:p>
            <w:r>
              <w:rPr>
                <w:b/>
              </w:rPr>
              <w:t>Action</w:t>
            </w:r>
          </w:p>
        </w:tc>
        <w:tc>
          <w:tcPr>
            <w:tcW w:type="dxa" w:w="2880"/>
          </w:tcPr>
          <w:p>
            <w:r>
              <w:rPr>
                <w:b/>
              </w:rPr>
              <w:t>Timing</w:t>
            </w:r>
          </w:p>
        </w:tc>
      </w:tr>
      <w:tr>
        <w:tc>
          <w:tcPr>
            <w:tcW w:type="dxa" w:w="2880"/>
          </w:tcPr>
          <w:p>
            <w:r>
              <w:t>David Weiss</w:t>
            </w:r>
          </w:p>
        </w:tc>
        <w:tc>
          <w:tcPr>
            <w:tcW w:type="dxa" w:w="2880"/>
          </w:tcPr>
          <w:p>
            <w:r>
              <w:t>Finish the title and pay-definition normalization across all sources and flag every role that needs a judgment call</w:t>
            </w:r>
          </w:p>
        </w:tc>
        <w:tc>
          <w:tcPr>
            <w:tcW w:type="dxa" w:w="2880"/>
          </w:tcPr>
          <w:p>
            <w:r>
              <w:t>Two weeks</w:t>
            </w:r>
          </w:p>
        </w:tc>
      </w:tr>
      <w:tr>
        <w:tc>
          <w:tcPr>
            <w:tcW w:type="dxa" w:w="2880"/>
          </w:tcPr>
          <w:p>
            <w:r>
              <w:t>Sandra Fuentes</w:t>
            </w:r>
          </w:p>
        </w:tc>
        <w:tc>
          <w:tcPr>
            <w:tcW w:type="dxa" w:w="2880"/>
          </w:tcPr>
          <w:p>
            <w:r>
              <w:t>Weigh David Mcgee's two proposed additions to the peer group and confirm whether they belong before the data build hardens</w:t>
            </w:r>
          </w:p>
        </w:tc>
        <w:tc>
          <w:tcPr>
            <w:tcW w:type="dxa" w:w="2880"/>
          </w:tcPr>
          <w:p>
            <w:r>
              <w:t>Next week</w:t>
            </w:r>
          </w:p>
        </w:tc>
      </w:tr>
      <w:tr>
        <w:tc>
          <w:tcPr>
            <w:tcW w:type="dxa" w:w="2880"/>
          </w:tcPr>
          <w:p>
            <w:r>
              <w:t>David Mcgee</w:t>
            </w:r>
          </w:p>
        </w:tc>
        <w:tc>
          <w:tcPr>
            <w:tcW w:type="dxa" w:w="2880"/>
          </w:tcPr>
          <w:p>
            <w:r>
              <w:t>Confirm the internal role list and current pay ranges for the operating-leader roles so our comparison uses the client's real structure</w:t>
            </w:r>
          </w:p>
        </w:tc>
        <w:tc>
          <w:tcPr>
            <w:tcW w:type="dxa" w:w="2880"/>
          </w:tcPr>
          <w:p>
            <w:r>
              <w:t>Before our next session</w:t>
            </w:r>
          </w:p>
        </w:tc>
      </w:tr>
    </w:tbl>
    <w:p>
      <w:r>
        <w:t>We set no formal next meeting, but agreed to reconvene once the normalization is complete and the first comparative cuts are ready to look at together. Minutes recorded by Sandra Fuentes.</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Compensation Benchmarking for Hicks-Castillo</dc:title>
  <dc:subject/>
  <dc:creator>Sandra Fuentes</dc:creator>
  <cp:keywords/>
  <dc:description>generated by python-docx</dc:description>
  <cp:lastModifiedBy>Sandra Fuentes</cp:lastModifiedBy>
  <cp:revision>1</cp:revision>
  <dcterms:created xsi:type="dcterms:W3CDTF">2023-07-03T09:00:00Z</dcterms:created>
  <dcterms:modified xsi:type="dcterms:W3CDTF">2023-07-03T09:00:00Z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