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Minutes: Findings Review, Hicks-Castillo Benchmarking</w:t>
      </w:r>
    </w:p>
    <w:p>
      <w:r>
        <w:t>A working session to review the draft findings and agree what remains before the final report. Held with:</w:t>
      </w:r>
    </w:p>
    <w:p>
      <w:pPr>
        <w:pStyle w:val="ListBullet"/>
      </w:pPr>
      <w:r>
        <w:t>Sandra Fuentes, Principal, Northgate Talent Partners</w:t>
      </w:r>
    </w:p>
    <w:p>
      <w:pPr>
        <w:pStyle w:val="ListBullet"/>
      </w:pPr>
      <w:r>
        <w:t>David Weiss, Research Associate, Northgate Talent Partners</w:t>
      </w:r>
    </w:p>
    <w:p>
      <w:pPr>
        <w:pStyle w:val="ListBullet"/>
      </w:pPr>
      <w:r>
        <w:t>David Mcgee, General Manager, Hicks-Castillo</w:t>
      </w:r>
    </w:p>
    <w:p>
      <w:r>
        <w:t>The main outcome of the session is that the draft findings hold together and the client sees his own company in them, which is the test that matters at this stage. We took David Mcgee through the role-by-role comparison for Hicks-Castillo across base, incentive, and total compensation, and he recognized both the overall picture and the outliers in it, which tells us the peer group and the normalization did the work they were meant to do.</w:t>
      </w:r>
    </w:p>
    <w:p>
      <w:r>
        <w:t>David Weiss then walked through the two operating-leader roles we had flagged earlier as hard to benchmark, and explained the judgment calls we made and documented instead of forcing a false match onto a survey title. David Mcgee accepted the reasoning and, helpfully, gave us a piece of internal context on one of those roles that lets us tighten the comparison further. We agreed that being transparent about those two roles belongs in the report itself, not buried in a footnote, so that the board understands where the numbers are firm and where they rest on judgment.</w:t>
      </w:r>
    </w:p>
    <w:p>
      <w:r>
        <w:t>Much of the substance turned on the incentive gap. The comparison shows the client's operating leaders at or near market on base pay but trailing the peer group on total compensation, and the difference sits almost entirely in the incentive component. David Mcgee had suspected as much, and seeing it laid out role by role gave him something concrete to take to the board, though we were careful to say that the numbers describe the market and do not, on their own, prescribe what the client should do about them.</w:t>
      </w:r>
    </w:p>
    <w:p>
      <w:r>
        <w:t>We also talked about timing for the close. With the analysis all but settled, David Mcgee asked how soon the board could see a final version, and we were straight with him that the two open refinements come first. A benchmark that shifts after the board has already seen it does more damage to confidence than the few days of waiting would ever be worth, so we agreed to hold the presentation until the report is genuinely final.</w:t>
      </w:r>
    </w:p>
    <w:p>
      <w:r>
        <w:t>We closed on how the client wants the findings framed for the board. David Mcgee asked that the report lead with total compensation for the operating leaders and treat base pay as supporting detail, consistent with what the board most cares about, and we agreed that framing. We also agreed to keep the comparator companies unnamed in the board version, identifying them by sector and size band, which protects the confidences under which the data was gathered.</w:t>
      </w:r>
    </w:p>
    <w:p>
      <w:pPr>
        <w:pStyle w:val="Heading2"/>
      </w:pPr>
      <w:r>
        <w:t>Actions Before the Final Report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Owner</w:t>
            </w:r>
          </w:p>
        </w:tc>
        <w:tc>
          <w:tcPr>
            <w:tcW w:type="dxa" w:w="2880"/>
          </w:tcPr>
          <w:p>
            <w:r>
              <w:rPr>
                <w:b/>
              </w:rPr>
              <w:t>Action</w:t>
            </w:r>
          </w:p>
        </w:tc>
        <w:tc>
          <w:tcPr>
            <w:tcW w:type="dxa" w:w="2880"/>
          </w:tcPr>
          <w:p>
            <w:r>
              <w:rPr>
                <w:b/>
              </w:rPr>
              <w:t>Timing</w:t>
            </w:r>
          </w:p>
        </w:tc>
      </w:tr>
      <w:tr>
        <w:tc>
          <w:tcPr>
            <w:tcW w:type="dxa" w:w="2880"/>
          </w:tcPr>
          <w:p>
            <w:r>
              <w:t>David Weiss</w:t>
            </w:r>
          </w:p>
        </w:tc>
        <w:tc>
          <w:tcPr>
            <w:tcW w:type="dxa" w:w="2880"/>
          </w:tcPr>
          <w:p>
            <w:r>
              <w:t>Incorporate the new internal context on the flagged role and refresh the affected comparison</w:t>
            </w:r>
          </w:p>
        </w:tc>
        <w:tc>
          <w:tcPr>
            <w:tcW w:type="dxa" w:w="2880"/>
          </w:tcPr>
          <w:p>
            <w:r>
              <w:t>One week</w:t>
            </w:r>
          </w:p>
        </w:tc>
      </w:tr>
      <w:tr>
        <w:tc>
          <w:tcPr>
            <w:tcW w:type="dxa" w:w="2880"/>
          </w:tcPr>
          <w:p>
            <w:r>
              <w:t>Sandra Fuentes</w:t>
            </w:r>
          </w:p>
        </w:tc>
        <w:tc>
          <w:tcPr>
            <w:tcW w:type="dxa" w:w="2880"/>
          </w:tcPr>
          <w:p>
            <w:r>
              <w:t>Redraft the findings summary to lead with total compensation and prepare the board-ready version with comparators anonymized</w:t>
            </w:r>
          </w:p>
        </w:tc>
        <w:tc>
          <w:tcPr>
            <w:tcW w:type="dxa" w:w="2880"/>
          </w:tcPr>
          <w:p>
            <w:r>
              <w:t>Two weeks</w:t>
            </w:r>
          </w:p>
        </w:tc>
      </w:tr>
      <w:tr>
        <w:tc>
          <w:tcPr>
            <w:tcW w:type="dxa" w:w="2880"/>
          </w:tcPr>
          <w:p>
            <w:r>
              <w:t>David Mcgee</w:t>
            </w:r>
          </w:p>
        </w:tc>
        <w:tc>
          <w:tcPr>
            <w:tcW w:type="dxa" w:w="2880"/>
          </w:tcPr>
          <w:p>
            <w:r>
              <w:t>Confirm the board meeting date so we can schedule the final presentation</w:t>
            </w:r>
          </w:p>
        </w:tc>
        <w:tc>
          <w:tcPr>
            <w:tcW w:type="dxa" w:w="2880"/>
          </w:tcPr>
          <w:p>
            <w:r>
              <w:t>This week</w:t>
            </w:r>
          </w:p>
        </w:tc>
      </w:tr>
    </w:tbl>
    <w:p>
      <w:r>
        <w:t>We are close. Once these items are done, the final report and a board presentation are all that remain. Minutes recorded by Sandra Fuentes.</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Northgate Talent Partners LLC</w:t>
    </w:r>
  </w:p>
  <w:p>
    <w:r>
      <w:rPr>
        <w:sz w:val="18"/>
      </w:rPr>
      <w:t>www.northgatetalent.com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Northgate Talent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Compensation Benchmarking for Hicks-Castillo</dc:title>
  <dc:subject/>
  <dc:creator>Sandra Fuentes</dc:creator>
  <cp:keywords/>
  <dc:description>generated by python-docx</dc:description>
  <cp:lastModifiedBy>Sandra Fuentes</cp:lastModifiedBy>
  <cp:revision>1</cp:revision>
  <dcterms:created xsi:type="dcterms:W3CDTF">2023-10-02T09:00:00Z</dcterms:created>
  <dcterms:modified xsi:type="dcterms:W3CDTF">2023-10-02T09:00:00Z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