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General Counsel Search for Howard, Carlson and Tran</w:t>
      </w:r>
    </w:p>
    <w:p>
      <w:r>
        <w:t>To: Sandra Fuentes; James Grant</w:t>
        <w:br/>
        <w:t>From: Nicole Donovan</w:t>
        <w:br/>
        <w:t>Re: How we will run the General Counsel search</w:t>
      </w:r>
    </w:p>
    <w:p>
      <w:r>
        <w:t>Our objective is a single one, and it should govern every choice from here: place a General Counsel with Howard, Carlson and Tran whom their board will still be glad to have hired three years on. We agreed the mandate with the client's General Manager, Amy Alvarez, and the engagement begins on May 9, 2019. This memo records the plan we set at kickoff, so the three of us work from one brief rather than three. The search will run heavily on correspondence, because the strongest candidates are not looking and both sides will need steady contact to stay comfortable.</w:t>
      </w:r>
    </w:p>
    <w:p>
      <w:pPr>
        <w:pStyle w:val="Heading2"/>
      </w:pPr>
      <w:r>
        <w:t>The role we are filling</w:t>
      </w:r>
    </w:p>
    <w:p>
      <w:r>
        <w:t>The client wants a General Counsel who is a genuine partner to leadership, not only a technical lawyer. They have said little yet about the finer points of the brief, which is why the specification comes first. Settling it with Amy Alvarez and her board is the first real task on the account, and it will set the terms every later decision rests on. The profile we build from it should read the same to all three of us, so that the field we assemble answers one brief and not three private readings of it. Discretion holds throughout: we describe candidates by their current seat and record, and we hold names until both sides want to meet.</w:t>
      </w:r>
    </w:p>
    <w:p>
      <w:pPr>
        <w:pStyle w:val="Heading2"/>
      </w:pPr>
      <w:r>
        <w:t>How the work divides</w:t>
      </w:r>
    </w:p>
    <w:p>
      <w:pPr>
        <w:pStyle w:val="ListBullet"/>
      </w:pPr>
      <w:r>
        <w:t>Specification: Sandra Fuentes drafts the position specification and settles it with the client, so the whole team searches against one agreed brief rather than four private ones.</w:t>
      </w:r>
    </w:p>
    <w:p>
      <w:pPr>
        <w:pStyle w:val="ListBullet"/>
      </w:pPr>
      <w:r>
        <w:t>Market and long list: James Grant leads the mapping at the senior end, works the sectors where a General Counsel of this profile is actually found, and builds the long list from that map rather than from a list we already hold.</w:t>
      </w:r>
    </w:p>
    <w:p>
      <w:pPr>
        <w:pStyle w:val="ListBullet"/>
      </w:pPr>
      <w:r>
        <w:t>Research and profiles: I prepare the candidate research and the short profiles the consultants circulate, each drawn by current role rather than by name, so they are clean enough to drop into a slate.</w:t>
      </w:r>
    </w:p>
    <w:p>
      <w:pPr>
        <w:pStyle w:val="ListBullet"/>
      </w:pPr>
      <w:r>
        <w:t>Logistics: I keep the schedules, the client billing, and the meeting arrangements in order, so the search never goes quiet on the client or on a candidate while we are busy elsewhere.</w:t>
      </w:r>
    </w:p>
    <w:p>
      <w:pPr>
        <w:pStyle w:val="Heading2"/>
      </w:pPr>
      <w:r>
        <w:t>First moves</w:t>
      </w:r>
    </w:p>
    <w:p>
      <w:r>
        <w:t>The specification gates everything else, so that is where we start. This week Sandra Fuentes gets a first draft of the specification to Amy Alvarez, and I would like James Grant to open the market map in parallel, so we are not idle while the client reads. I will set a standing weekly check-in for the three of us and arrange a first calibration call once the draft is in the client's hands. If anyone sees a reason this plan will not hold, say so now, before the search is underway.</w:t>
      </w:r>
    </w:p>
    <w:p>
      <w:r>
        <w:t>A word on how we will keep the thread orderly. This is a correspondence-heavy search, so the record matters as much as the calls, and I will hold the schedules, the notes, and the client billing in one place. Every candidate profile I circulate will carry a name at the top for questions, so nothing waits on a guess about who owns it. When something is delicate, it waits for a call rather than an email, and I will flag those to whichever of you owns the relationship.</w:t>
      </w:r>
    </w:p>
    <w:p>
      <w:r>
        <w:t>That is the whole of it for now. Once the specification is agreed, the market work begins in earnest, and the memo after this one will be about candidates rather than plan.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General Counsel Search for Howard, Carlson and Tran</dc:title>
  <dc:subject/>
  <dc:creator>Nicole Donovan</dc:creator>
  <cp:keywords/>
  <dc:description>generated by python-docx</dc:description>
  <cp:lastModifiedBy>Nicole Donovan</cp:lastModifiedBy>
  <cp:revision>1</cp:revision>
  <dcterms:created xsi:type="dcterms:W3CDTF">2019-05-12T09:00:00Z</dcterms:created>
  <dcterms:modified xsi:type="dcterms:W3CDTF">2019-05-12T09:00:00Z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