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General Counsel Search for Howard, Carlson and Tran</w:t>
      </w:r>
    </w:p>
    <w:p>
      <w:r>
        <w:t>Prepared for the client executive by Nicole Donovan, Research Associate. The search for Howard, Carlson and Tran is on schedule and on budget at its midpoint. The field is built, the first prospects are in real conversations, and we expect to move from a broad field toward a short slate over the coming weeks. This report sets out what we finished in the last period, what comes next, where the budget sits, and the risks we are watching.</w:t>
      </w:r>
    </w:p>
    <w:p>
      <w:pPr>
        <w:pStyle w:val="Heading2"/>
      </w:pPr>
      <w:r>
        <w:t>Where things stand</w:t>
      </w:r>
    </w:p>
    <w:p>
      <w:r>
        <w:t>The specification is agreed and has held steady since kickoff, which is the main reason the search has stayed orderly. James Grant has completed the market map at the senior end, covering the sectors where a General Counsel of this profile is genuinely found rather than only the sectors that are easy to reach. Sandra Fuentes owns the client relationship and will own the assessment as the field narrows. We are squarely at the midpoint of the work: past the building of the field, and not yet at finalists and references. Nothing on the account is behind, and nothing has surprised us.</w:t>
      </w:r>
    </w:p>
    <w:p>
      <w:pPr>
        <w:pStyle w:val="Heading2"/>
      </w:pPr>
      <w:r>
        <w:t>What we completed this period</w:t>
      </w:r>
    </w:p>
    <w:p>
      <w:r>
        <w:t>The period's work went to closing the field and sharpening how we describe it.</w:t>
      </w:r>
    </w:p>
    <w:p>
      <w:pPr>
        <w:pStyle w:val="ListBullet"/>
      </w:pPr>
      <w:r>
        <w:t>Completed the market map at the senior end and confirmed it reaches the sectors where a General Counsel of this profile is actually found, rather than only the obvious ones.</w:t>
      </w:r>
    </w:p>
    <w:p>
      <w:pPr>
        <w:pStyle w:val="ListBullet"/>
      </w:pPr>
      <w:r>
        <w:t>Opened first, uncommitting approaches to the strongest prospects. Each is held by current role rather than by name, in keeping with how the client asked us to handle the field.</w:t>
      </w:r>
    </w:p>
    <w:p>
      <w:pPr>
        <w:pStyle w:val="ListBullet"/>
      </w:pPr>
      <w:r>
        <w:t>Revised the candidate profile format at the client's request to carry a short, concrete account of judgment under pressure, and updated the profiles already drawn so the whole field is described on the same terms.</w:t>
      </w:r>
    </w:p>
    <w:p>
      <w:pPr>
        <w:pStyle w:val="ListBullet"/>
      </w:pPr>
      <w:r>
        <w:t>Held the standing weekly review with the team, and kept the client's questions routed to a single point on our side so nothing was answered twice or missed.</w:t>
      </w:r>
    </w:p>
    <w:p>
      <w:pPr>
        <w:pStyle w:val="Heading2"/>
      </w:pPr>
      <w:r>
        <w:t>What comes next</w:t>
      </w:r>
    </w:p>
    <w:p>
      <w:r>
        <w:t>The next period turns from building the field to testing it.</w:t>
      </w:r>
    </w:p>
    <w:p>
      <w:pPr>
        <w:pStyle w:val="ListBullet"/>
      </w:pPr>
      <w:r>
        <w:t>Move the leading prospects from first approaches into full assessment, testing directly for the partner-to-leadership qualities the client cares most about rather than for presentation alone.</w:t>
      </w:r>
    </w:p>
    <w:p>
      <w:pPr>
        <w:pStyle w:val="ListBullet"/>
      </w:pPr>
      <w:r>
        <w:t>Begin the groundwork for references discreetly, arranging it so that no inquiry reaches a prospect's current employer.</w:t>
      </w:r>
    </w:p>
    <w:p>
      <w:pPr>
        <w:pStyle w:val="ListBullet"/>
      </w:pPr>
      <w:r>
        <w:t>Bring Sandra Fuentes's read of the client relationship and James Grant's judgment on the senior market together into a short slate, framed by fit and evidence rather than by name.</w:t>
      </w:r>
    </w:p>
    <w:p>
      <w:pPr>
        <w:pStyle w:val="ListBullet"/>
      </w:pPr>
      <w:r>
        <w:t>Propose a date for the first committee review of the field once the assessments are in hand, fitted around the client's calendar.</w:t>
      </w:r>
    </w:p>
    <w:p>
      <w:pPr>
        <w:pStyle w:val="Heading2"/>
      </w:pPr>
      <w:r>
        <w:t>Budget</w:t>
      </w:r>
    </w:p>
    <w:p>
      <w:r>
        <w:t>The engagement runs to the fixed professional fee of $62,000, agreed at the outset and unchanged since. We remain comfortably within it at the midpoint. Because the fee is fixed rather than tied to a candidate's eventual pay, the cost of the search does not move as the search does, and the client carries no surprise at the end. There are no expenses outstanding beyond the ordinary, and nothing unusual that we have not already flagged.</w:t>
      </w:r>
    </w:p>
    <w:p>
      <w:pPr>
        <w:pStyle w:val="Heading2"/>
      </w:pPr>
      <w:r>
        <w:t>Risks and what we are watching</w:t>
      </w:r>
    </w:p>
    <w:p>
      <w:r>
        <w:t>Three risks are worth naming, none of them pressing, all of them managed.</w:t>
      </w:r>
    </w:p>
    <w:p>
      <w:pPr>
        <w:pStyle w:val="ListBullet"/>
      </w:pPr>
      <w:r>
        <w:t>Availability: the strongest prospects are not looking, so a leading candidate could step back late. We keep more than one prospect warm to hold against it.</w:t>
      </w:r>
    </w:p>
    <w:p>
      <w:pPr>
        <w:pStyle w:val="ListBullet"/>
      </w:pPr>
      <w:r>
        <w:t>Brief drift: a specification can quietly shift as a board begins to picture candidates. We reconfirm the two priorities at each review to keep the search aimed at one brief.</w:t>
      </w:r>
    </w:p>
    <w:p>
      <w:pPr>
        <w:pStyle w:val="ListBullet"/>
      </w:pPr>
      <w:r>
        <w:t>Confidentiality: a General Counsel search touches sensitive ground. We describe candidates by their seat and hold names until both sides are ready, which slows nothing and protects everyone.</w:t>
      </w:r>
    </w:p>
    <w:p>
      <w:r>
        <w:t>The single thing to watch between now and the next report is how the first assessments land. They will tell us whether the leading prospects hold up against the qualities the client cares most about, or whether we lean harder on the next names in the field. Once they are in, the field should resolve quickly toward a slate, and I will propose a review date the moment it does.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General Counsel Search for Howard, Carlson and Tran</dc:title>
  <dc:subject/>
  <dc:creator>Nicole Donovan</dc:creator>
  <cp:keywords/>
  <dc:description>generated by python-docx</dc:description>
  <cp:lastModifiedBy>Nicole Donovan</cp:lastModifiedBy>
  <cp:revision>1</cp:revision>
  <dcterms:created xsi:type="dcterms:W3CDTF">2019-07-06T09:00:00Z</dcterms:created>
  <dcterms:modified xsi:type="dcterms:W3CDTF">2019-07-06T09:00:00Z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