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General Counsel Search for Howard, Carlson and Tran</w:t>
      </w:r>
    </w:p>
    <w:p>
      <w:r>
        <w:t>These minutes record our working session on the General Counsel search for Howard, Carlson and Tran, held to take stock of the field and to agree how the next stretch should run. The short version is that the search is where it should be: the specification is settled, the market map is largely built, and we are beginning to test our first real prospects. What follows is the detail behind that.</w:t>
      </w:r>
    </w:p>
    <w:p>
      <w:pPr>
        <w:pStyle w:val="Heading2"/>
      </w:pPr>
      <w:r>
        <w:t>Present</w:t>
      </w:r>
    </w:p>
    <w:p>
      <w:pPr>
        <w:pStyle w:val="ListBullet"/>
      </w:pPr>
      <w:r>
        <w:t>Sandra Fuentes, Principal</w:t>
      </w:r>
    </w:p>
    <w:p>
      <w:pPr>
        <w:pStyle w:val="ListBullet"/>
      </w:pPr>
      <w:r>
        <w:t>James Grant, Principal</w:t>
      </w:r>
    </w:p>
    <w:p>
      <w:pPr>
        <w:pStyle w:val="ListBullet"/>
      </w:pPr>
      <w:r>
        <w:t>Nicole Donovan, Research Associate</w:t>
      </w:r>
    </w:p>
    <w:p>
      <w:pPr>
        <w:pStyle w:val="ListBullet"/>
      </w:pPr>
      <w:r>
        <w:t>Amy Alvarez, General Manager, Howard, Carlson and Tran</w:t>
      </w:r>
    </w:p>
    <w:p>
      <w:pPr>
        <w:pStyle w:val="Heading2"/>
      </w:pPr>
      <w:r>
        <w:t>Where the search stands</w:t>
      </w:r>
    </w:p>
    <w:p>
      <w:r>
        <w:t>We began with a recap of the field. James Grant walked the group through the map he has built at the senior end of the market, and we agreed it now covers the sectors where a General Counsel of this profile is genuinely to be found. Nicole Donovan has drawn early research on the seats we most want to reach, each described by current role rather than by name, which is how we will keep the whole field until both sides are ready to meet.</w:t>
      </w:r>
    </w:p>
    <w:p>
      <w:r>
        <w:t>Two prospects are worth a closer look already, and we discussed each by their current seat: the deputy general counsel of a listed manufacturer, and the general counsel of a regional health system. Neither has been approached in a way that commits them, and we were careful to note that the field is still being built rather than narrowed. Amy Alvarez asked good questions about how we would test for the partner-to-leadership qualities the client cares most about, and we agreed those questions belong in the assessment rather than the first approach.</w:t>
      </w:r>
    </w:p>
    <w:p>
      <w:pPr>
        <w:pStyle w:val="Heading2"/>
      </w:pPr>
      <w:r>
        <w:t>What the client needs from us</w:t>
      </w:r>
    </w:p>
    <w:p>
      <w:r>
        <w:t>Amy Alvarez set the context plainly before making her one request. The board would like to see how a candidate has behaved when the business was under real pressure, not only how they present in a room. She asked, therefore, that our profiles carry a short, concrete account of judgment under strain for each person we bring forward. We agreed that Nicole Donovan will fold that into the profile format, and that James Grant will weigh it directly in his read of the finalists.</w:t>
      </w:r>
    </w:p>
    <w:p>
      <w:pPr>
        <w:pStyle w:val="Heading2"/>
      </w:pPr>
      <w:r>
        <w:t>What we agreed to do next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Timing</w:t>
            </w:r>
          </w:p>
        </w:tc>
      </w:tr>
      <w:tr>
        <w:tc>
          <w:tcPr>
            <w:tcW w:type="dxa" w:w="2880"/>
          </w:tcPr>
          <w:p>
            <w:r>
              <w:t>James Grant</w:t>
            </w:r>
          </w:p>
        </w:tc>
        <w:tc>
          <w:tcPr>
            <w:tcW w:type="dxa" w:w="2880"/>
          </w:tcPr>
          <w:p>
            <w:r>
              <w:t>Close the remaining gaps in the market map and open first, uncommitting approaches to the strongest seats</w:t>
            </w:r>
          </w:p>
        </w:tc>
        <w:tc>
          <w:tcPr>
            <w:tcW w:type="dxa" w:w="2880"/>
          </w:tcPr>
          <w:p>
            <w:r>
              <w:t>Over the next two weeks</w:t>
            </w:r>
          </w:p>
        </w:tc>
      </w:tr>
      <w:tr>
        <w:tc>
          <w:tcPr>
            <w:tcW w:type="dxa" w:w="2880"/>
          </w:tcPr>
          <w:p>
            <w:r>
              <w:t>Nicole Donovan</w:t>
            </w:r>
          </w:p>
        </w:tc>
        <w:tc>
          <w:tcPr>
            <w:tcW w:type="dxa" w:w="2880"/>
          </w:tcPr>
          <w:p>
            <w:r>
              <w:t>Add a short account of judgment under pressure to the candidate profile format and update the drawn profiles to match</w:t>
            </w:r>
          </w:p>
        </w:tc>
        <w:tc>
          <w:tcPr>
            <w:tcW w:type="dxa" w:w="2880"/>
          </w:tcPr>
          <w:p>
            <w:r>
              <w:t>This week</w:t>
            </w:r>
          </w:p>
        </w:tc>
      </w:tr>
      <w:tr>
        <w:tc>
          <w:tcPr>
            <w:tcW w:type="dxa" w:w="2880"/>
          </w:tcPr>
          <w:p>
            <w:r>
              <w:t>Sandra Fuentes</w:t>
            </w:r>
          </w:p>
        </w:tc>
        <w:tc>
          <w:tcPr>
            <w:tcW w:type="dxa" w:w="2880"/>
          </w:tcPr>
          <w:p>
            <w:r>
              <w:t>Confirm the assessment questions with the client and hold the relationship steady on both sides</w:t>
            </w:r>
          </w:p>
        </w:tc>
        <w:tc>
          <w:tcPr>
            <w:tcW w:type="dxa" w:w="2880"/>
          </w:tcPr>
          <w:p>
            <w:r>
              <w:t>Before the next session</w:t>
            </w:r>
          </w:p>
        </w:tc>
      </w:tr>
      <w:tr>
        <w:tc>
          <w:tcPr>
            <w:tcW w:type="dxa" w:w="2880"/>
          </w:tcPr>
          <w:p>
            <w:r>
              <w:t>Amy Alvarez</w:t>
            </w:r>
          </w:p>
        </w:tc>
        <w:tc>
          <w:tcPr>
            <w:tcW w:type="dxa" w:w="2880"/>
          </w:tcPr>
          <w:p>
            <w:r>
              <w:t>Share any internal names the board would want included or avoided, and confirm the review cadence with her leadership</w:t>
            </w:r>
          </w:p>
        </w:tc>
        <w:tc>
          <w:tcPr>
            <w:tcW w:type="dxa" w:w="2880"/>
          </w:tcPr>
          <w:p>
            <w:r>
              <w:t>Ahead of the next call</w:t>
            </w:r>
          </w:p>
        </w:tc>
      </w:tr>
    </w:tbl>
    <w:p>
      <w:r>
        <w:t>Our one priority before we next meet is to move the two leading prospects from names on a map into real conversations, without committing either side too early. Everything after that, including when a slate reaches the committee, follows from how those first approaches land.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General Counsel Search for Howard, Carlson and Tran</dc:title>
  <dc:subject/>
  <dc:creator>Sandra Fuentes</dc:creator>
  <cp:keywords/>
  <dc:description>generated by python-docx</dc:description>
  <cp:lastModifiedBy>Sandra Fuentes</cp:lastModifiedBy>
  <cp:revision>1</cp:revision>
  <dcterms:created xsi:type="dcterms:W3CDTF">2019-06-24T09:00:00Z</dcterms:created>
  <dcterms:modified xsi:type="dcterms:W3CDTF">2019-06-24T09:00:00Z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