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CFO Search for Roach, Moss and Hall</w:t>
      </w:r>
    </w:p>
    <w:p>
      <w:r>
        <w:t>Prepared by Sandra Fuentes, Principal, for the hiring committee of Roach, Moss and Hall.</w:t>
      </w:r>
    </w:p>
    <w:p>
      <w:pPr>
        <w:pStyle w:val="Heading2"/>
      </w:pPr>
      <w:r>
        <w:t>Where the search stands</w:t>
      </w:r>
    </w:p>
    <w:p>
      <w:r>
        <w:t>The search is on track and now at its midpoint. The field has been mapped and the first candidates interviewed, a strong group of prospects has emerged, and the work in front of us is to narrow that group to the short slate the committee will meet. We are working within the fixed fee of $92,000 agreed at the outset, and the engagement remains on budget and on schedule.</w:t>
      </w:r>
    </w:p>
    <w:p>
      <w:pPr>
        <w:pStyle w:val="Heading2"/>
      </w:pPr>
      <w:r>
        <w:t>What we have done this period</w:t>
      </w:r>
    </w:p>
    <w:p>
      <w:r>
        <w:t>Since the last report the team has completed the market map and moved the search into interviews. James Grant has led the first-round interviews of the most senior prospects and recorded his read-outs for the rest of us, and his judgment has already thinned the field to the people who genuinely fit what the business needs of a Chief Financial Officer. Jeffrey Patterson has kept every candidate thread current, arranged the interviews without a single slot slipping, and stayed close to the prospects who are weighing a move so that none of them cools while we work.</w:t>
      </w:r>
    </w:p>
    <w:p>
      <w:r>
        <w:t>Partway through the period we sat down with the committee for a joint working session to review the completed market map together, and the client used that session to sharpen two priorities in the brief, which we have since folded into how we weigh prospects. Keeping the committee this close to the work means the slate, when it lands, will hold no surprises for the people who have to act on it. The specification itself has held steady since we first agreed it, which has kept the search orderly, and we have calibrated against it at each step so that the field we are building genuinely answers the brief.</w:t>
      </w:r>
    </w:p>
    <w:p>
      <w:r>
        <w:t>Throughout, we have held to the discretion the assignment demands. Prospective candidates have been discussed with the committee by their current role and record, none has been named in anything that circulates, and no candidate's interest in the role has traveled beyond the handful of people who need to know it. Several of the strongest prospects are in current seats they are not advertising a wish to leave, and that discretion is the only reason they are willing to talk to us at all.</w:t>
      </w:r>
    </w:p>
    <w:p>
      <w:pPr>
        <w:pStyle w:val="Heading2"/>
      </w:pPr>
      <w:r>
        <w:t>What comes next</w:t>
      </w:r>
    </w:p>
    <w:p>
      <w:r>
        <w:t>Over the coming weeks the team will complete the remaining first-round interviews, test the strongest prospects more deeply against the specification, and assemble the short slate for the committee. Each candidate on that slate will come to you described by the evidence of what they have built and by their fit with your board, and we will hold their names in confidence until both sides are ready to meet. Once the committee has met the slate, we will move to references and support you through to an offer. I will set a date for the slate review as soon as the field is firm, and I would ask the committee to hold a provisional window now, so that the timetable does not stall for want of a calendar.</w:t>
      </w:r>
    </w:p>
    <w:p>
      <w:pPr>
        <w:pStyle w:val="Heading2"/>
      </w:pPr>
      <w:r>
        <w:t>Risks and how we are managing them</w:t>
      </w:r>
    </w:p>
    <w:p>
      <w:r>
        <w:t>Two risks are worth naming, neither of them pressing. The first is timing on the candidates' side: the strongest prospects for a role like this are people who are not looking to move, and one or two may need longer to decide than a fixed schedule would like, which we are managing by keeping them warm and honest about where they stand instead of forcing a pace. The second is the depth of the field in one of the three market segments, which came in thinner than the others; we have covered it by weighting our outreach toward the two segments where a Chief Financial Officer of this profile is more likely to be found, and we do not believe it puts the quality of the slate at risk. Nothing about the engagement's cost or timeline has changed since we began, and the search remains firmly on budget.</w:t>
      </w:r>
    </w:p>
    <w:p>
      <w:r>
        <w:t>The search is healthy, the field is real, and we are on course to bring the committee a slate it can act on with confidence. The one thing I need from you now is a provisional date to meet that slate, which I will confirm the moment the field is firm.</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CFO Search for Roach, Moss and Hall</dc:title>
  <dc:subject/>
  <dc:creator>Sandra Fuentes</dc:creator>
  <cp:keywords/>
  <dc:description>generated by python-docx</dc:description>
  <cp:lastModifiedBy>Sandra Fuentes</cp:lastModifiedBy>
  <cp:revision>1</cp:revision>
  <dcterms:created xsi:type="dcterms:W3CDTF">2015-10-15T09:00:00Z</dcterms:created>
  <dcterms:modified xsi:type="dcterms:W3CDTF">2015-10-15T09:00:00Z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