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Board Director Search for Sanchez-Baker: Status at the Midpoint</w:t>
      </w:r>
    </w:p>
    <w:p>
      <w:pPr>
        <w:pStyle w:val="Heading2"/>
      </w:pPr>
      <w:r>
        <w:t>Summary</w:t>
      </w:r>
    </w:p>
    <w:p>
      <w:r>
        <w:t>The search is on track and roughly at its midpoint. The market work is complete. The long list has been refined to a working roster of genuine prospects, and first approaches are underway. Nothing at this stage gives cause for concern, and we expect to hold the timetable we set. Since our last note, the map has closed and outreach has begun. The move from research to candidate contact is the main change to report.</w:t>
      </w:r>
    </w:p>
    <w:p>
      <w:pPr>
        <w:pStyle w:val="Heading2"/>
      </w:pPr>
      <w:r>
        <w:t>Progress this period</w:t>
      </w:r>
    </w:p>
    <w:p>
      <w:pPr>
        <w:pStyle w:val="ListBullet"/>
      </w:pPr>
      <w:r>
        <w:t>Position specification agreed with you and stable since.</w:t>
      </w:r>
    </w:p>
    <w:p>
      <w:pPr>
        <w:pStyle w:val="ListBullet"/>
      </w:pPr>
      <w:r>
        <w:t>Market map complete across the priority sectors.</w:t>
      </w:r>
    </w:p>
    <w:p>
      <w:pPr>
        <w:pStyle w:val="ListBullet"/>
      </w:pPr>
      <w:r>
        <w:t>Long list refined to a working roster of genuine prospects.</w:t>
      </w:r>
    </w:p>
    <w:p>
      <w:pPr>
        <w:pStyle w:val="ListBullet"/>
      </w:pPr>
      <w:r>
        <w:t>First discreet approaches opened; early interest encouraging.</w:t>
      </w:r>
    </w:p>
    <w:p>
      <w:r>
        <w:t>James Grant led the specification and the assessment framework. Jason Bell built the market map and the long list. Jeffrey Patterson is managing the approaches and the candidate conversations, and is keeping every thread current. Every prospect we approach is logged, with their current seat and their read on a possible move, so the roster stays current from one week to the next.</w:t>
      </w:r>
    </w:p>
    <w:p>
      <w:r>
        <w:t>Response to the first approaches has been better than typical for a board mandate. Several of the strongest prospects have agreed to an exploratory conversation, and none of the names we most wanted has declined. That is a good position at the halfway mark. We will keep the pressure on outreach so the momentum holds into the second half.</w:t>
      </w:r>
    </w:p>
    <w:p>
      <w:r>
        <w:t>The field breaks into three groups. There are sitting non-executive directors at comparable companies, recently retired senior operators with the standing for a board seat, and a smaller set of strong first-time directors with deep functional experience. We are weighting the first two, in line with the specification. The third group is thinner but worth carrying, since a first-time director with the right functional depth can be the freshest voice in the room. As always, we describe each candidate by the seat now held rather than by name.</w:t>
      </w:r>
    </w:p>
    <w:p>
      <w:r>
        <w:t>The specification is doing its job. It asks for judgment, credibility in the relevant sector, and the standing to be heard in a boardroom, ahead of a long directorship record. It sets no hard bar on prior board count. It does ask that a candidate be free of conflict with the company and able to give the time a working director needs. We have held it as written, and it is keeping the roster focused.</w:t>
      </w:r>
    </w:p>
    <w:p>
      <w:pPr>
        <w:pStyle w:val="Heading2"/>
      </w:pPr>
      <w:r>
        <w:t>The weeks ahead</w:t>
      </w:r>
    </w:p>
    <w:p>
      <w:r>
        <w:t>The next phase turns the roster into a slate. We will complete the priority approaches, hold first conversations, and assess those who advance against the specification. We expect to present a short, qualified slate for your interviews in the back half of the engagement.</w:t>
      </w:r>
    </w:p>
    <w:p>
      <w:r>
        <w:t>Assessment is structured, not impressionistic. Each advancing candidate is measured against the same specification, on the record, so that the comparison you see is a fair one. You will have our written read on every name we put forward, framed by the seat held.</w:t>
      </w:r>
    </w:p>
    <w:p>
      <w:r>
        <w:t>Reference work follows selection, it does not precede it. We check each finalist properly, and discreetly, before any offer is discussed, since none of these candidates has spoken to a current employer.</w:t>
      </w:r>
    </w:p>
    <w:p>
      <w:r>
        <w:t>So that we do not lose time when the slate is ready, it will help to hold provisional interview windows now. Jeffrey Patterson will coordinate the dates as candidates confirm.</w:t>
      </w:r>
    </w:p>
    <w:p>
      <w:pPr>
        <w:pStyle w:val="Heading2"/>
      </w:pPr>
      <w:r>
        <w:t>Risks and watch items</w:t>
      </w:r>
    </w:p>
    <w:p>
      <w:r>
        <w:t>Two items warrant attention, neither serious. First, board searches turn on the availability of people who are not looking to move, so a strong prospect may step aside on timing even when the fit is right. We manage this by carrying enough depth in the roster that no single withdrawal sets us back. We are carrying more names in the priority tier than the slate will need, for exactly this reason.</w:t>
      </w:r>
    </w:p>
    <w:p>
      <w:r>
        <w:t>Second, interview scheduling across a full board is the most common cause of delay late in a search. Reserving windows now is the surest guard against it. We see no risk to confidentiality; the search is holding tightly.</w:t>
      </w:r>
    </w:p>
    <w:p>
      <w:pPr>
        <w:pStyle w:val="Heading2"/>
      </w:pPr>
      <w:r>
        <w:t>What will help from you</w:t>
      </w:r>
    </w:p>
    <w:p>
      <w:r>
        <w:t>Two things from your side will keep the closing weeks clean. First, hold the provisional interview windows we have asked for; late scheduling is the usual cause of slippage. Second, when you are ready, confirm the compensation and time expectations for the seat, so that we can be straight with candidates from the first serious conversation.</w:t>
      </w:r>
    </w:p>
    <w:p>
      <w:pPr>
        <w:pStyle w:val="Heading2"/>
      </w:pPr>
      <w:r>
        <w:t>Budget</w:t>
      </w:r>
    </w:p>
    <w:p>
      <w:r>
        <w:t>The engagement is a retained assignment at a fixed fee of $66,000, which covers the search in full, from the research through the reference work behind a finalist. We are within that fee. We expect no charges beyond it, save the itemized expenses set out in our agreement.</w:t>
      </w:r>
    </w:p>
    <w:p>
      <w:r>
        <w:t>We will send the next written status at the three-quarter mark, or sooner if the slate firms up before then. Between reports, Jeffrey Patterson is your point of contact for anything time-sensitive.</w:t>
      </w:r>
    </w:p>
    <w:p>
      <w:r>
        <w:t>Our single priority before the next report is to complete the priority approaches and firm up the interview windows. We will send the qualified slate as soon as the first conversations are done.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Board Director Search for Sanchez-Baker</dc:title>
  <dc:subject/>
  <dc:creator>Jason Bell</dc:creator>
  <cp:keywords/>
  <dc:description>generated by python-docx</dc:description>
  <cp:lastModifiedBy>Jason Bell</cp:lastModifiedBy>
  <cp:revision>1</cp:revision>
  <dcterms:created xsi:type="dcterms:W3CDTF">2017-07-08T09:00:00Z</dcterms:created>
  <dcterms:modified xsi:type="dcterms:W3CDTF">2017-07-08T09:00:00Z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