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Northgate Talent Partners</w:t>
      </w:r>
    </w:p>
    <w:p>
      <w:r>
        <w:t>We built Northgate Talent Partners on a plain conviction. Retained search is a relationship business first, and a document business second. We opened our doors in 2013 to do one thing well, which is to help a company find the person who should lead it. The formal parts of a search matter, and we handle them with care. But they sit around the real work, and the real work is a long and careful conversation.</w:t>
      </w:r>
    </w:p>
    <w:p>
      <w:pPr>
        <w:pStyle w:val="Heading2"/>
      </w:pPr>
      <w:r>
        <w:t>What we do</w:t>
      </w:r>
    </w:p>
    <w:p>
      <w:r>
        <w:t>We are a retained executive search firm. Our clients are mid-market companies, along with one regional health system, and they come to us when the seat that matters most is open. We place senior operators, the people who run a business day to day, and we place directors onto boards. Every search begins with the same question. Not who is available, but who is right, and how we might reach them. Some of our best work is with people who were not looking at all, and who agreed to consider a move only because someone they trusted opened the conversation with care.</w:t>
      </w:r>
    </w:p>
    <w:p>
      <w:pPr>
        <w:pStyle w:val="Heading2"/>
      </w:pPr>
      <w:r>
        <w:t>The clients we keep</w:t>
      </w:r>
    </w:p>
    <w:p>
      <w:r>
        <w:t>We work best with mid-market companies, the ones large enough that the top jobs carry real weight and small enough that a single hire changes the trajectory of the place. We also serve one regional health system, a relationship we value for the seriousness it asks of us, since a leadership choice in care is never only a business decision. Many of our engagements come from clients we have served before, or from people we once placed who now do the hiring themselves.</w:t>
      </w:r>
    </w:p>
    <w:p>
      <w:pPr>
        <w:pStyle w:val="Heading2"/>
      </w:pPr>
      <w:r>
        <w:t>Our service lines</w:t>
      </w:r>
    </w:p>
    <w:p>
      <w:r>
        <w:t>Our practice runs along a few clear lines, and most engagements draw on more than one.</w:t>
      </w:r>
    </w:p>
    <w:p>
      <w:pPr>
        <w:pStyle w:val="ListBullet"/>
      </w:pPr>
      <w:r>
        <w:t>Retained executive search for senior operating roles, from a general manager to a chief executive.</w:t>
      </w:r>
    </w:p>
    <w:p>
      <w:pPr>
        <w:pStyle w:val="ListBullet"/>
      </w:pPr>
      <w:r>
        <w:t>Board director search, where the brief turns as much on temperament and governance as on a resume.</w:t>
      </w:r>
    </w:p>
    <w:p>
      <w:pPr>
        <w:pStyle w:val="ListBullet"/>
      </w:pPr>
      <w:r>
        <w:t>Succession work, so a client can see the bench before a seat comes open rather than after.</w:t>
      </w:r>
    </w:p>
    <w:p>
      <w:pPr>
        <w:pStyle w:val="ListBullet"/>
      </w:pPr>
      <w:r>
        <w:t>Confidential replacements, where discretion is the whole assignment and the search must run without a ripple.</w:t>
      </w:r>
    </w:p>
    <w:p>
      <w:pPr>
        <w:pStyle w:val="Heading2"/>
      </w:pPr>
      <w:r>
        <w:t>A representative engagement</w:t>
      </w:r>
    </w:p>
    <w:p>
      <w:r>
        <w:t>One engagement gives a sense of how we work. This year we partnered with Roach, Moss and Hall on a senior leadership search, and it showed the pattern we favor. A client who trusted us with the brief. A market we mapped patiently before we named anyone. A shortlist built on fit rather than convenience. We offer it as one illustration among the searches we have run, not as the whole of our work, and we are careful never to describe one client's search to another.</w:t>
      </w:r>
    </w:p>
    <w:p>
      <w:pPr>
        <w:pStyle w:val="Heading2"/>
      </w:pPr>
      <w:r>
        <w:t>How we work</w:t>
      </w:r>
    </w:p>
    <w:p>
      <w:r>
        <w:t>Two habits sit at the center of the firm. The first is discretion. In anything that circulates, we describe a candidate by the seat they hold today, not by name, until they are genuinely in play and have agreed to be there. A search touches a person's career, and a careless line can cost someone standing they spent years building. We protect that without being asked. The second is order. James Weiss runs the operational spine of the office, and around here he is simply Jim, which keeps him straight from the other James on the roster. He confirms each arrangement, keeps the correspondence in order, and makes sure nothing slips between a first call and a signed agreement. Because Jim holds that ground, our consultants stay where they belong, with their candidates.</w:t>
      </w:r>
    </w:p>
    <w:p>
      <w:pPr>
        <w:pStyle w:val="Heading2"/>
      </w:pPr>
      <w:r>
        <w:t>Talk to us</w:t>
      </w:r>
    </w:p>
    <w:p>
      <w:r>
        <w:t>If you are weighing a leadership decision, the next step is a conversation rather than a proposal. Call us, and we will listen first. Kelly Chavez will walk you through how a retained search would run for the seat you have in mind, what a realistic timeline looks like, and what we would need from you to do the work well. There is no cost to the conversation, and no obligation follows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Kelly Chavez</dc:creator>
  <cp:keywords/>
  <dc:description>generated by python-docx</dc:description>
  <cp:lastModifiedBy>Kelly Chavez</cp:lastModifiedBy>
  <cp:revision>1</cp:revision>
  <dcterms:created xsi:type="dcterms:W3CDTF">2015-09-26T09:00:00Z</dcterms:created>
  <dcterms:modified xsi:type="dcterms:W3CDTF">2015-09-26T09:00:00Z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