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James Henderson, John Sanchez</w:t>
        <w:br/>
        <w:t>From: Mary Foster</w:t>
        <w:br/>
        <w:t>Re: Kickoff, Phase I Site Assessment for Dyer and Sons</w:t>
      </w:r>
    </w:p>
    <w:p>
      <w:r>
        <w:t>We have the Phase I for Dyer and Sons. Work begins on May 10, 2016. The client needs a defensible assessment to ASTM E1527-13 before it closes on the property, and our job is to give them one on the schedule set in the engagement letter.</w:t>
      </w:r>
    </w:p>
    <w:p>
      <w:r>
        <w:t>This is a property review, not a sampling job. We identify recognized environmental conditions if they exist, and we document their absence if they do not. We do not test soil or groundwater on a Phase I. If the review turns up something that warrants testing, that is a separate scope we raise with the client, and we do not start it on our own.</w:t>
      </w:r>
    </w:p>
    <w:p>
      <w:r>
        <w:t>The client contact is Michelle Roberts, their Chief Financial Officer. Anything that needs a client decision goes to her through the engagement lead, not straight from the field. Keep client questions off your own email and route them up.</w:t>
      </w:r>
    </w:p>
    <w:p>
      <w:pPr>
        <w:pStyle w:val="Heading2"/>
      </w:pPr>
      <w:r>
        <w:t>How the Work Breaks Down</w:t>
      </w:r>
    </w:p>
    <w:p>
      <w:r>
        <w:t>Five streams, roughly in this order.</w:t>
      </w:r>
    </w:p>
    <w:p>
      <w:pPr>
        <w:pStyle w:val="ListBullet"/>
      </w:pPr>
      <w:r>
        <w:t>Records review. Historical aerials, fire-insurance maps, chain of title, city directories, and any prior environmental reports on the property. James Henderson owns this and runs it back through the standard look-back period.</w:t>
      </w:r>
    </w:p>
    <w:p>
      <w:pPr>
        <w:pStyle w:val="ListBullet"/>
      </w:pPr>
      <w:r>
        <w:t>Regulatory database search. Federal and state listings for the property and the sites around it. I order it first, because the vendor turnaround is the long pole on this schedule.</w:t>
      </w:r>
    </w:p>
    <w:p>
      <w:pPr>
        <w:pStyle w:val="ListBullet"/>
      </w:pPr>
      <w:r>
        <w:t>Site reconnaissance. A full walk of the property with a photo log keyed to a site sketch. I run this and set the date once we have access.</w:t>
      </w:r>
    </w:p>
    <w:p>
      <w:pPr>
        <w:pStyle w:val="ListBullet"/>
      </w:pPr>
      <w:r>
        <w:t>Interviews. The current owner, the site manager, and anyone local who knows the history. Split between James and me, with the notes written up the same day.</w:t>
      </w:r>
    </w:p>
    <w:p>
      <w:pPr>
        <w:pStyle w:val="ListBullet"/>
      </w:pPr>
      <w:r>
        <w:t>Report and review. James drafts to E1527-13, John Sanchez reviews the findings, and the report goes up for signature before it leaves the office.</w:t>
      </w:r>
    </w:p>
    <w:p>
      <w:r>
        <w:t>The deliverable is one report to the client, with our finding stated plainly: either we found no recognized environmental conditions, or we found one and we say what it is. There is no interim report. Everything lands in the final document, so the record behind it has to be complete.</w:t>
      </w:r>
    </w:p>
    <w:p>
      <w:pPr>
        <w:pStyle w:val="Heading2"/>
      </w:pPr>
      <w:r>
        <w:t>First Moves</w:t>
      </w:r>
    </w:p>
    <w:p>
      <w:r>
        <w:t>I will order the regulatory database search on day one so the clock starts. James begins pulling the historical record the same week. Neither task waits on the other.</w:t>
      </w:r>
    </w:p>
    <w:p>
      <w:r>
        <w:t>I need site access confirmed before I can schedule the reconnaissance. Once the client gives us a date and a point of contact on the ground, I will circulate a field plan with access notes and what to bring. Plan for field conditions; parts of these estuary parcels sit low and hold water.</w:t>
      </w:r>
    </w:p>
    <w:p>
      <w:r>
        <w:t>I am setting up the project file today. Photographs get logged with station, date, and direction on the day they are taken, and interview notes go in under the interviewee and the date. If it is not written down and dated, we cannot use it in the report.</w:t>
      </w:r>
    </w:p>
    <w:p>
      <w:r>
        <w:t>The schedule is tight but ordinary for this scope. The database turnaround and the client's records are the two things that can move the schedule, and I am pushing on both early so they do not stack up at the end. Questions on scope come to me before we start, not after.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Phase I Site Assessment for Dyer and Sons</dc:title>
  <dc:subject/>
  <dc:creator>Mary Foster</dc:creator>
  <cp:keywords/>
  <dc:description>generated by python-docx</dc:description>
  <cp:lastModifiedBy>Mary Foster</cp:lastModifiedBy>
  <cp:revision>1</cp:revision>
  <dcterms:created xsi:type="dcterms:W3CDTF">2016-05-13T09:00:00Z</dcterms:created>
  <dcterms:modified xsi:type="dcterms:W3CDTF">2016-05-13T09:00:00Z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