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report covers progress on the Phase I Environmental Site Assessment we are conducting for Dyer and Sons, prepared for the Dyer and Sons management team. It reflects the work through the first half of the engagement.</w:t>
      </w:r>
    </w:p>
    <w:p>
      <w:pPr>
        <w:pStyle w:val="Heading2"/>
      </w:pPr>
      <w:r>
        <w:t>Where the Work Stands</w:t>
      </w:r>
    </w:p>
    <w:p>
      <w:r>
        <w:t>The assessment is on schedule and within budget. We are roughly at the midpoint of the engagement. The records and regulatory review is substantially complete, and the site reconnaissance is done. No condition has come to light that would enlarge the scope of the work or change what we expect to deliver.</w:t>
      </w:r>
    </w:p>
    <w:p>
      <w:r>
        <w:t>The work remains within the fixed fee of $34,000. We do not anticipate additional cost. Nothing found so far points toward the separate sampling program that a Phase I sometimes recommends, and if that changes we will tell you before we do any further work.</w:t>
      </w:r>
    </w:p>
    <w:p>
      <w:pPr>
        <w:pStyle w:val="Heading2"/>
      </w:pPr>
      <w:r>
        <w:t>Completed This Period</w:t>
      </w:r>
    </w:p>
    <w:p>
      <w:r>
        <w:t>James Henderson has completed the historical records review. That included the aerial photographs, the chain of title, the fire-insurance maps, city directories, and the prior environmental reports we could obtain for the property. Together these establish how the parcel has been used back through the standard look-back period.</w:t>
      </w:r>
    </w:p>
    <w:p>
      <w:r>
        <w:t>The regulatory database search has been received and read. It covered the standard federal and state lists at the search distances the ASTM practice prescribes: the National Priorities List, the federal and state records of contaminated and formerly contaminated sites, registered and leaking underground storage tanks, and reported spills. We read each listing within those distances and plotted the mapped sites against the property and the local groundwater gradient.</w:t>
      </w:r>
    </w:p>
    <w:p>
      <w:r>
        <w:t>The property itself carries no environmental listing on the federal or state records. Two neighboring sites do appear, both up-gradient of the parcel; James Henderson is reviewing the file on the nearer of the two so that we can state plainly whether either bears on the property.</w:t>
      </w:r>
    </w:p>
    <w:p>
      <w:r>
        <w:t>Our field technician, Mary Foster, completed the site reconnaissance and the photographic log. The surface walk found no evidence of a release: no stained soils, no stressed vegetation, no improper storage of drums or chemicals. A former equipment area at the rear of the site has been noted for a second look when we return for the interviews.</w:t>
      </w:r>
    </w:p>
    <w:p>
      <w:pPr>
        <w:pStyle w:val="Heading2"/>
      </w:pPr>
      <w:r>
        <w:t>Upcoming Work</w:t>
      </w:r>
    </w:p>
    <w:p>
      <w:r>
        <w:t>Two tasks remain in the field and the record. We will complete the site interviews, including the current owner and a long-standing site manager, and we will make the follow-up visit to the rear equipment area to close out the photographic record.</w:t>
      </w:r>
    </w:p>
    <w:p>
      <w:r>
        <w:t>The interviews are being scheduled now. We have the current owner lined up and are working through your team to reach a former site manager whose memory of the property runs back further than the written record. We expect to have both completed in the next few weeks.</w:t>
      </w:r>
    </w:p>
    <w:p>
      <w:r>
        <w:t>James Henderson will then prepare the draft assessment to the ASTM E1527-13 standard. John Sanchez will review the findings before the report is finalized and signed, on the principle that no conclusion leaves this office until a second scientist has tested it against the record. Our aim for the next period is a complete draft ready for that review.</w:t>
      </w:r>
    </w:p>
    <w:p>
      <w:pPr>
        <w:pStyle w:val="Heading2"/>
      </w:pPr>
      <w:r>
        <w:t>Items to Watch</w:t>
      </w:r>
    </w:p>
    <w:p>
      <w:r>
        <w:t>Two things could affect the schedule, and we are managing both. The archived ownership records and the site-manager interview depend on materials and access from your side. The sooner we have them, the sooner we can close the interview stage.</w:t>
      </w:r>
    </w:p>
    <w:p>
      <w:r>
        <w:t>The second is the up-gradient neighbor. If the file on that site raises a genuine question, we will report it as a recognized environmental condition and explain what, if anything, it would take to resolve it. We do not expect that outcome on what we have seen so far, but it would be premature to rule it out at the midpoint.</w:t>
      </w:r>
    </w:p>
    <w:p>
      <w:r>
        <w:t>Nothing in the file to date changes our budget or our schedule. We raise these items because they are the ordinary places a Phase I slows down, not because either has slipped. If either does, you will hear it from us in the next report or sooner.</w:t>
      </w:r>
    </w:p>
    <w:p>
      <w:r>
        <w:t>We will send the next report at the close of the coming period, or sooner if anything in the file warrants it. If you have questions in the meantime, please call and we will walk you through where things stand.</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3B3060"/>
        <w:sz w:val="28"/>
      </w:rPr>
      <w:t>Saltmarsh Environmental Partners LLC</w:t>
    </w:r>
  </w:p>
  <w:p>
    <w:r>
      <w:rPr>
        <w:sz w:val="18"/>
      </w:rPr>
      <w:t>www.saltmarshenv.com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Saltmarsh Environmental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Phase I Site Assessment for Dyer and Sons</dc:title>
  <dc:subject/>
  <dc:creator>Mary Foster</dc:creator>
  <cp:keywords/>
  <dc:description>generated by python-docx</dc:description>
  <cp:lastModifiedBy>Mary Foster</cp:lastModifiedBy>
  <cp:revision>1</cp:revision>
  <dcterms:created xsi:type="dcterms:W3CDTF">2016-07-06T09:00:00Z</dcterms:created>
  <dcterms:modified xsi:type="dcterms:W3CDTF">2016-07-06T09:00:00Z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