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OrgSmith"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Working Session: Wetland Delineation</w:t>
      </w:r>
    </w:p>
    <w:p>
      <w:pPr>
        <w:pStyle w:val="Heading2"/>
      </w:pPr>
      <w:r>
        <w:t>Present</w:t>
      </w:r>
    </w:p>
    <w:p>
      <w:pPr>
        <w:pStyle w:val="ListBullet"/>
      </w:pPr>
      <w:r>
        <w:t>John Sanchez, Senior Scientist, Saltmarsh Environmental Partners</w:t>
      </w:r>
    </w:p>
    <w:p>
      <w:pPr>
        <w:pStyle w:val="ListBullet"/>
      </w:pPr>
      <w:r>
        <w:t>Angela Williams, Field Technician, Saltmarsh Environmental Partners</w:t>
      </w:r>
    </w:p>
    <w:p>
      <w:pPr>
        <w:pStyle w:val="ListBullet"/>
      </w:pPr>
      <w:r>
        <w:t>Mary Foster, Field Technician, Saltmarsh Environmental Partners</w:t>
      </w:r>
    </w:p>
    <w:p>
      <w:pPr>
        <w:pStyle w:val="ListBullet"/>
      </w:pPr>
      <w:r>
        <w:t>Sandra Little, Director of Operations, Dyer and Sons</w:t>
      </w:r>
    </w:p>
    <w:p>
      <w:pPr>
        <w:pStyle w:val="Heading2"/>
      </w:pPr>
      <w:r>
        <w:t>Discussion</w:t>
      </w:r>
    </w:p>
    <w:p>
      <w:r>
        <w:t>The delineation is on schedule, and the boundary as flagged to date will hold. Angela Williams and Mary Foster have walked the accessible portions of the parcel and recorded paired sample points against the three parameters. Where a hydrology indicator was marginal, the point was noted for a return visit and not carried as a conclusion.</w:t>
      </w:r>
    </w:p>
    <w:p>
      <w:r>
        <w:t>The soils are doing most of the work along the interior of the line. Redoximorphic features were observed within the required depth at the wetland points and were absent at the paired upland points, which is the contrast the method looks for. Nothing in the soils so far contradicts the boundary as it was walked.</w:t>
      </w:r>
    </w:p>
    <w:p>
      <w:r>
        <w:t>One reach along the tidal channel is the exception, and it warranted the most discussion. The vegetation there is a community that can be read two ways, and reading it either way would move the line. The point has been resampled so that the determination can rest on the soils and the hydrology, which are the more reliable indicators at that location, and the report will state the basis for the call where a reviewer can find it.</w:t>
      </w:r>
    </w:p>
    <w:p>
      <w:r>
        <w:t>Site access will remain open for the remainder of the field season, which Ms. Little confirmed on behalf of the client. The survey crew can be scheduled once the flag line is complete, and we walked through how the flags will be located and tied to a drawing so that the boundary does not live in the marsh alone. Tide windows, not the calendar, will set the order of the remaining visits.</w:t>
      </w:r>
    </w:p>
    <w:p>
      <w:r>
        <w:t>The deliverable for Dyer and Sons was restated so everyone is working toward the same thing. It is the delineation report and the request for a jurisdictional determination, and nothing in the scope has changed since the work began. The report will carry the data forms behind it rather than summarize them away.</w:t>
      </w:r>
    </w:p>
    <w:p>
      <w:r>
        <w:t>The data discipline was reviewed as well, since it is what the report will stand on. Each point carries a completed form, a soils description, and the sediment notes taken in the field, and the flag log ties every flag to a point number. Nothing will be reconstructed after the fact; if it was not written down in the marsh, it does not go in the report.</w:t>
      </w:r>
    </w:p>
    <w:p>
      <w:r>
        <w:t>We agreed that nothing is drawn as final until the whole line has been walked. That was understood on both sides, and it sets the pace for the weeks ahead. A short session will follow once the resampled reach is back and the survey has been scheduled.</w:t>
      </w:r>
    </w:p>
    <w:p>
      <w:pPr>
        <w:pStyle w:val="Heading2"/>
      </w:pPr>
      <w:r>
        <w:t>Action Items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Action</w:t>
            </w:r>
          </w:p>
        </w:tc>
        <w:tc>
          <w:tcPr>
            <w:tcW w:type="dxa" w:w="2880"/>
          </w:tcPr>
          <w:p>
            <w:r>
              <w:rPr>
                <w:b/>
              </w:rPr>
              <w:t>Owner</w:t>
            </w:r>
          </w:p>
        </w:tc>
        <w:tc>
          <w:tcPr>
            <w:tcW w:type="dxa" w:w="2880"/>
          </w:tcPr>
          <w:p>
            <w:r>
              <w:rPr>
                <w:b/>
              </w:rPr>
              <w:t>Notes</w:t>
            </w:r>
          </w:p>
        </w:tc>
      </w:tr>
      <w:tr>
        <w:tc>
          <w:tcPr>
            <w:tcW w:type="dxa" w:w="2880"/>
          </w:tcPr>
          <w:p>
            <w:r>
              <w:t>Complete flagging of the remaining boundary</w:t>
            </w:r>
          </w:p>
        </w:tc>
        <w:tc>
          <w:tcPr>
            <w:tcW w:type="dxa" w:w="2880"/>
          </w:tcPr>
          <w:p>
            <w:r>
              <w:t>Angela Williams</w:t>
            </w:r>
          </w:p>
        </w:tc>
        <w:tc>
          <w:tcPr>
            <w:tcW w:type="dxa" w:w="2880"/>
          </w:tcPr>
          <w:p>
            <w:r>
              <w:t>with Mary Foster</w:t>
            </w:r>
          </w:p>
        </w:tc>
      </w:tr>
      <w:tr>
        <w:tc>
          <w:tcPr>
            <w:tcW w:type="dxa" w:w="2880"/>
          </w:tcPr>
          <w:p>
            <w:r>
              <w:t>Resample the marginal reach and log soils and hydrology</w:t>
            </w:r>
          </w:p>
        </w:tc>
        <w:tc>
          <w:tcPr>
            <w:tcW w:type="dxa" w:w="2880"/>
          </w:tcPr>
          <w:p>
            <w:r>
              <w:t>Mary Foster</w:t>
            </w:r>
          </w:p>
        </w:tc>
        <w:tc>
          <w:tcPr>
            <w:tcW w:type="dxa" w:w="2880"/>
          </w:tcPr>
          <w:p>
            <w:r>
              <w:t>return visit</w:t>
            </w:r>
          </w:p>
        </w:tc>
      </w:tr>
      <w:tr>
        <w:tc>
          <w:tcPr>
            <w:tcW w:type="dxa" w:w="2880"/>
          </w:tcPr>
          <w:p>
            <w:r>
              <w:t>Schedule the survey crew to locate the flags</w:t>
            </w:r>
          </w:p>
        </w:tc>
        <w:tc>
          <w:tcPr>
            <w:tcW w:type="dxa" w:w="2880"/>
          </w:tcPr>
          <w:p>
            <w:r>
              <w:t>John Sanchez</w:t>
            </w:r>
          </w:p>
        </w:tc>
        <w:tc>
          <w:tcPr>
            <w:tcW w:type="dxa" w:w="2880"/>
          </w:tcPr>
          <w:p>
            <w:r>
              <w:t>after flagging is complete</w:t>
            </w:r>
          </w:p>
        </w:tc>
      </w:tr>
      <w:tr>
        <w:tc>
          <w:tcPr>
            <w:tcW w:type="dxa" w:w="2880"/>
          </w:tcPr>
          <w:p>
            <w:r>
              <w:t>Keep site access open for the field team</w:t>
            </w:r>
          </w:p>
        </w:tc>
        <w:tc>
          <w:tcPr>
            <w:tcW w:type="dxa" w:w="2880"/>
          </w:tcPr>
          <w:p>
            <w:r>
              <w:t>Sandra Little</w:t>
            </w:r>
          </w:p>
        </w:tc>
        <w:tc>
          <w:tcPr>
            <w:tcW w:type="dxa" w:w="2880"/>
          </w:tcPr>
          <w:p>
            <w:r>
              <w:t>Dyer and Sons</w:t>
            </w:r>
          </w:p>
        </w:tc>
      </w:tr>
    </w:tbl>
    <w:sectPr w:rsidR="00FC693F" w:rsidRPr="0006063C" w:rsidSect="00034616">
      <w:headerReference w:type="first" r:id="rId9"/>
      <w:headerReference w:type="default" r:id="rId10"/>
      <w:footerReference w:type="default" r:id="rId11"/>
      <w:footerReference w:type="first" r:id="rId12"/>
      <w:pgSz w:w="12240" w:h="15840"/>
      <w:pgMar w:top="1440" w:right="1800" w:bottom="1440" w:left="180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b/>
        <w:color w:val="3B3060"/>
        <w:sz w:val="28"/>
      </w:rPr>
      <w:t>Saltmarsh Environmental Partners LLC</w:t>
    </w:r>
  </w:p>
  <w:p>
    <w:r>
      <w:rPr>
        <w:sz w:val="18"/>
      </w:rPr>
      <w:t>www.saltmarshenv.com</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Saltmarsh Environmental Partners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mbria" w:hAnsi="Cambr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Meeting Minutes: Wetland Delineation for Dyer and Sons</dc:title>
  <dc:subject/>
  <dc:creator>John Sanchez</dc:creator>
  <cp:keywords/>
  <dc:description>generated by python-docx</dc:description>
  <cp:lastModifiedBy>John Sanchez</cp:lastModifiedBy>
  <cp:revision>1</cp:revision>
  <dcterms:created xsi:type="dcterms:W3CDTF">2015-08-07T09:00:00Z</dcterms:created>
  <dcterms:modified xsi:type="dcterms:W3CDTF">2015-08-07T09:00:00Z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SmithSynthetic">
    <vt:lpwstr>true</vt:lpwstr>
  </property>
</Properties>
</file>