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Wetland Delineation</w:t>
      </w:r>
    </w:p>
    <w:p>
      <w:pPr>
        <w:pStyle w:val="Heading2"/>
      </w:pPr>
      <w:r>
        <w:t>Present</w:t>
      </w:r>
    </w:p>
    <w:p>
      <w:pPr>
        <w:pStyle w:val="ListBullet"/>
      </w:pPr>
      <w:r>
        <w:t>John Sanchez, Senior Scientist, Saltmarsh Environmental Partners</w:t>
      </w:r>
    </w:p>
    <w:p>
      <w:pPr>
        <w:pStyle w:val="ListBullet"/>
      </w:pPr>
      <w:r>
        <w:t>Angela Williams, Field Technician, Saltmarsh Environmental Partners</w:t>
      </w:r>
    </w:p>
    <w:p>
      <w:pPr>
        <w:pStyle w:val="ListBullet"/>
      </w:pPr>
      <w:r>
        <w:t>Mary Foster, Field Technician, Saltmarsh Environmental Partners</w:t>
      </w:r>
    </w:p>
    <w:p>
      <w:pPr>
        <w:pStyle w:val="ListBullet"/>
      </w:pPr>
      <w:r>
        <w:t>Sandra Little, Director of Operations, Dyer and Sons</w:t>
      </w:r>
    </w:p>
    <w:p>
      <w:pPr>
        <w:pStyle w:val="Heading2"/>
      </w:pPr>
      <w:r>
        <w:t>Discussion</w:t>
      </w:r>
    </w:p>
    <w:p>
      <w:r>
        <w:t>The delineation is complete, and the report is in final draft. The boundary has been walked in full, the flags have been located and tied to survey, and the data forms have been checked against the three parameters at every paired point. What remains is review, not fieldwork.</w:t>
      </w:r>
    </w:p>
    <w:p>
      <w:r>
        <w:t>The figures were the main item on the table. The flagged line now sits on the survey drawing, the sample points are numbered to match the data forms, and the marginal reach is called out so a reviewer is led to it rather than left to find it. The intent is that the figures and the forms tell the same story without a reader having to reconcile them.</w:t>
      </w:r>
    </w:p>
    <w:p>
      <w:r>
        <w:t>The one reach discussed at the earlier session was resolved on the soils and the hydrology, and the report states the basis for that call where a reviewer can find it. Ms. Little asked whether the marginal point would draw a question from the agency. Our judgment is that it may, and the report is written to answer that question before it is asked.</w:t>
      </w:r>
    </w:p>
    <w:p>
      <w:r>
        <w:t>The deliverable for Dyer and Sons is the delineation report and the request for a jurisdictional determination. Both are assembled and ready for the client's review before we submit. Angela Williams and Mary Foster confirmed that the survey tie-in sheet matches the flag log, which was the last field item outstanding.</w:t>
      </w:r>
    </w:p>
    <w:p>
      <w:r>
        <w:t>How the agency is likely to read the package was discussed briefly, with the usual caution. The determination itself rests with the Corps, and we do not speak for the reviewer; what we can do is give them a record that answers the ordinary questions before they are asked. On this parcel the boundary is well supported, and we expect the file to stand on its own.</w:t>
      </w:r>
    </w:p>
    <w:p>
      <w:r>
        <w:t>We agreed that the package goes to the agency only after the client has read the draft and signed off. That keeps the record clean and keeps everyone reading the same document. Comments should come back on the marked-up draft rather than in scattered notes, so nothing is lost between the review and the final.</w:t>
      </w:r>
    </w:p>
    <w:p>
      <w:r>
        <w:t>The remaining steps are short and were assigned before the session closed. The report and figures get one more internal check, the survey tie-in sheet is confirmed against the flag log, and the jurisdictional determination package is assembled once the client signs off. With those done, the file is ready to leave the office, and the field season on this parcel is effectively behind us.</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Notes</w:t>
            </w:r>
          </w:p>
        </w:tc>
      </w:tr>
      <w:tr>
        <w:tc>
          <w:tcPr>
            <w:tcW w:type="dxa" w:w="2880"/>
          </w:tcPr>
          <w:p>
            <w:r>
              <w:t>Final internal check of the report and figures</w:t>
            </w:r>
          </w:p>
        </w:tc>
        <w:tc>
          <w:tcPr>
            <w:tcW w:type="dxa" w:w="2880"/>
          </w:tcPr>
          <w:p>
            <w:r>
              <w:t>John Sanchez</w:t>
            </w:r>
          </w:p>
        </w:tc>
        <w:tc>
          <w:tcPr>
            <w:tcW w:type="dxa" w:w="2880"/>
          </w:tcPr>
          <w:p>
            <w:r>
              <w:t>before release</w:t>
            </w:r>
          </w:p>
        </w:tc>
      </w:tr>
      <w:tr>
        <w:tc>
          <w:tcPr>
            <w:tcW w:type="dxa" w:w="2880"/>
          </w:tcPr>
          <w:p>
            <w:r>
              <w:t>Confirm the survey tie-in sheet matches the flag log</w:t>
            </w:r>
          </w:p>
        </w:tc>
        <w:tc>
          <w:tcPr>
            <w:tcW w:type="dxa" w:w="2880"/>
          </w:tcPr>
          <w:p>
            <w:r>
              <w:t>Angela Williams</w:t>
            </w:r>
          </w:p>
        </w:tc>
        <w:tc>
          <w:tcPr>
            <w:tcW w:type="dxa" w:w="2880"/>
          </w:tcPr>
          <w:p>
            <w:r>
              <w:t>with Mary Foster</w:t>
            </w:r>
          </w:p>
        </w:tc>
      </w:tr>
      <w:tr>
        <w:tc>
          <w:tcPr>
            <w:tcW w:type="dxa" w:w="2880"/>
          </w:tcPr>
          <w:p>
            <w:r>
              <w:t>Return the marked-up draft with any client comments</w:t>
            </w:r>
          </w:p>
        </w:tc>
        <w:tc>
          <w:tcPr>
            <w:tcW w:type="dxa" w:w="2880"/>
          </w:tcPr>
          <w:p>
            <w:r>
              <w:t>Sandra Little</w:t>
            </w:r>
          </w:p>
        </w:tc>
        <w:tc>
          <w:tcPr>
            <w:tcW w:type="dxa" w:w="2880"/>
          </w:tcPr>
          <w:p>
            <w:r>
              <w:t>Dyer and Sons</w:t>
            </w:r>
          </w:p>
        </w:tc>
      </w:tr>
      <w:tr>
        <w:tc>
          <w:tcPr>
            <w:tcW w:type="dxa" w:w="2880"/>
          </w:tcPr>
          <w:p>
            <w:r>
              <w:t>Assemble the jurisdictional determination package</w:t>
            </w:r>
          </w:p>
        </w:tc>
        <w:tc>
          <w:tcPr>
            <w:tcW w:type="dxa" w:w="2880"/>
          </w:tcPr>
          <w:p>
            <w:r>
              <w:t>John Sanchez</w:t>
            </w:r>
          </w:p>
        </w:tc>
        <w:tc>
          <w:tcPr>
            <w:tcW w:type="dxa" w:w="2880"/>
          </w:tcPr>
          <w:p>
            <w:r>
              <w:t>after client sign-off</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Wetland Delineation for Dyer and Sons</dc:title>
  <dc:subject/>
  <dc:creator>John Sanchez</dc:creator>
  <cp:keywords/>
  <dc:description>generated by python-docx</dc:description>
  <cp:lastModifiedBy>John Sanchez</cp:lastModifiedBy>
  <cp:revision>1</cp:revision>
  <dcterms:created xsi:type="dcterms:W3CDTF">2015-11-05T09:00:00Z</dcterms:created>
  <dcterms:modified xsi:type="dcterms:W3CDTF">2015-11-05T09:00:00Z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