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Attendees</w:t>
      </w:r>
    </w:p>
    <w:p>
      <w:pPr>
        <w:pStyle w:val="ListBullet"/>
      </w:pPr>
      <w:r>
        <w:t>John Sanchez, Senior Scientist</w:t>
      </w:r>
    </w:p>
    <w:p>
      <w:pPr>
        <w:pStyle w:val="ListBullet"/>
      </w:pPr>
      <w:r>
        <w:t>Mary Foster, Field Technician</w:t>
      </w:r>
    </w:p>
    <w:p>
      <w:pPr>
        <w:pStyle w:val="ListBullet"/>
      </w:pPr>
      <w:r>
        <w:t>James Henderson, Environmental Scientist</w:t>
      </w:r>
    </w:p>
    <w:p>
      <w:pPr>
        <w:pStyle w:val="ListBullet"/>
      </w:pPr>
      <w:r>
        <w:t>Michelle Roberts, Chief Financial Officer, Dyer and Sons</w:t>
      </w:r>
    </w:p>
    <w:p>
      <w:r>
        <w:t>The short version, which we gave Michelle at the top of the meeting, is that the assessment is proceeding without surprises, and nothing found so far would change the scope or the schedule we set for Dyer and Sons. What follows is the detail behind that. We met to walk the client through where the records and the field work stand and to line up the interviews that close out the look-back.</w:t>
      </w:r>
    </w:p>
    <w:p>
      <w:r>
        <w:t>On timing, we told Michelle that the work is tracking to the schedule in the engagement letter and remains within the agreed fee. Neither the records review nor the reconnaissance has surfaced anything that would add cost, and we would flag it at once if that changed.</w:t>
      </w:r>
    </w:p>
    <w:p>
      <w:pPr>
        <w:pStyle w:val="Heading2"/>
      </w:pPr>
      <w:r>
        <w:t>Records and Regulatory Review</w:t>
      </w:r>
    </w:p>
    <w:p>
      <w:r>
        <w:t>James walked us through the records review. The historical aerials and the title chain are in hand, and they show the sequence of uses we would expect for a parcel of this age. We noted one earlier use that we want to run down further before we characterize it, which is ordinary caution rather than a concern.</w:t>
      </w:r>
    </w:p>
    <w:p>
      <w:r>
        <w:t>The regulatory database search has come back, and the property itself carries no listing. Two neighboring sites do appear, both up-gradient of the parcel, and we spent some time on what that could mean. Our present reading is that neither is likely to have affected the subject property, but we agreed to keep the question open until James has read the file on the nearer of the two.</w:t>
      </w:r>
    </w:p>
    <w:p>
      <w:r>
        <w:t>We also settled the interview plan. James and Mary will speak with the current owner and the site manager, and we asked Michelle to help us reach a former manager who worked the property for many years. The value of that conversation is the memory it carries, the uses and small incidents that rarely reach a public record.</w:t>
      </w:r>
    </w:p>
    <w:p>
      <w:pPr>
        <w:pStyle w:val="Heading2"/>
      </w:pPr>
      <w:r>
        <w:t>Site Reconnaissance</w:t>
      </w:r>
    </w:p>
    <w:p>
      <w:r>
        <w:t>Mary reported on the site visit. The walk is complete and the photographic log is filed; nothing on the surface suggested a release, no stained soil, no distressed vegetation, no drums or fill of concern. The log is keyed to a site sketch, so each photograph can be placed on the property later without relying on memory.</w:t>
      </w:r>
    </w:p>
    <w:p>
      <w:r>
        <w:t>She did flag a former equipment area at the rear of the site. There is nothing on the surface there that concerns us, but the ground is worth a second, careful look, and we will photograph it once more when we return for the interviews so that the record is complete.</w:t>
      </w:r>
    </w:p>
    <w:p>
      <w:pPr>
        <w:pStyle w:val="Heading2"/>
      </w:pPr>
      <w:r>
        <w:t>Client Items</w:t>
      </w:r>
    </w:p>
    <w:p>
      <w:r>
        <w:t>Michelle confirmed that Dyer and Sons will provide the older ownership records and the name of a long-standing site manager we can interview. We were grateful for that. Those two items are usually the hardest for us to obtain on our own, and having them from the client shortens the tail of the work.</w:t>
      </w:r>
    </w:p>
    <w:p>
      <w:pPr>
        <w:pStyle w:val="Heading2"/>
      </w:pPr>
      <w:r>
        <w:t>Action Items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Owner</w:t>
            </w:r>
          </w:p>
        </w:tc>
        <w:tc>
          <w:tcPr>
            <w:tcW w:type="dxa" w:w="2880"/>
          </w:tcPr>
          <w:p>
            <w:r>
              <w:rPr>
                <w:b/>
              </w:rPr>
              <w:t>Target</w:t>
            </w:r>
          </w:p>
        </w:tc>
      </w:tr>
      <w:tr>
        <w:tc>
          <w:tcPr>
            <w:tcW w:type="dxa" w:w="2880"/>
          </w:tcPr>
          <w:p>
            <w:r>
              <w:t>Read the regulatory file on the nearer up-gradient site</w:t>
            </w:r>
          </w:p>
        </w:tc>
        <w:tc>
          <w:tcPr>
            <w:tcW w:type="dxa" w:w="2880"/>
          </w:tcPr>
          <w:p>
            <w:r>
              <w:t>James Henderson</w:t>
            </w:r>
          </w:p>
        </w:tc>
        <w:tc>
          <w:tcPr>
            <w:tcW w:type="dxa" w:w="2880"/>
          </w:tcPr>
          <w:p>
            <w:r>
              <w:t>Before the next site visit</w:t>
            </w:r>
          </w:p>
        </w:tc>
      </w:tr>
      <w:tr>
        <w:tc>
          <w:tcPr>
            <w:tcW w:type="dxa" w:w="2880"/>
          </w:tcPr>
          <w:p>
            <w:r>
              <w:t>Complete the follow-up walk of the rear equipment area</w:t>
            </w:r>
          </w:p>
        </w:tc>
        <w:tc>
          <w:tcPr>
            <w:tcW w:type="dxa" w:w="2880"/>
          </w:tcPr>
          <w:p>
            <w:r>
              <w:t>Mary Foster</w:t>
            </w:r>
          </w:p>
        </w:tc>
        <w:tc>
          <w:tcPr>
            <w:tcW w:type="dxa" w:w="2880"/>
          </w:tcPr>
          <w:p>
            <w:r>
              <w:t>With the interview visit</w:t>
            </w:r>
          </w:p>
        </w:tc>
      </w:tr>
      <w:tr>
        <w:tc>
          <w:tcPr>
            <w:tcW w:type="dxa" w:w="2880"/>
          </w:tcPr>
          <w:p>
            <w:r>
              <w:t>Provide archived ownership records and site-manager contact</w:t>
            </w:r>
          </w:p>
        </w:tc>
        <w:tc>
          <w:tcPr>
            <w:tcW w:type="dxa" w:w="2880"/>
          </w:tcPr>
          <w:p>
            <w:r>
              <w:t>Michelle Roberts</w:t>
            </w:r>
          </w:p>
        </w:tc>
        <w:tc>
          <w:tcPr>
            <w:tcW w:type="dxa" w:w="2880"/>
          </w:tcPr>
          <w:p>
            <w:r>
              <w:t>Within two weeks</w:t>
            </w:r>
          </w:p>
        </w:tc>
      </w:tr>
      <w:tr>
        <w:tc>
          <w:tcPr>
            <w:tcW w:type="dxa" w:w="2880"/>
          </w:tcPr>
          <w:p>
            <w:r>
              <w:t>Consolidate findings and confirm no change to scope</w:t>
            </w:r>
          </w:p>
        </w:tc>
        <w:tc>
          <w:tcPr>
            <w:tcW w:type="dxa" w:w="2880"/>
          </w:tcPr>
          <w:p>
            <w:r>
              <w:t>John Sanchez</w:t>
            </w:r>
          </w:p>
        </w:tc>
        <w:tc>
          <w:tcPr>
            <w:tcW w:type="dxa" w:w="2880"/>
          </w:tcPr>
          <w:p>
            <w:r>
              <w:t>After the interviews</w:t>
            </w:r>
          </w:p>
        </w:tc>
      </w:tr>
    </w:tbl>
    <w:p>
      <w:r>
        <w:t>We agreed to meet again once the interviews are done, when James expects to have a first draft of the assessment in shape for review. Minutes recorded by John Sanchez.</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3B3060"/>
        <w:sz w:val="28"/>
      </w:rPr>
      <w:t>Saltmarsh Environmental Partners LLC</w:t>
    </w:r>
  </w:p>
  <w:p>
    <w:r>
      <w:rPr>
        <w:sz w:val="18"/>
      </w:rPr>
      <w:t>www.saltmarshenv.com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Saltmarsh Environmental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 Phase I Site Assessment for Dyer and Sons</dc:title>
  <dc:subject/>
  <dc:creator>John Sanchez</dc:creator>
  <cp:keywords/>
  <dc:description>generated by python-docx</dc:description>
  <cp:lastModifiedBy>John Sanchez</cp:lastModifiedBy>
  <cp:revision>1</cp:revision>
  <dcterms:created xsi:type="dcterms:W3CDTF">2016-06-24T09:00:00Z</dcterms:created>
  <dcterms:modified xsi:type="dcterms:W3CDTF">2016-06-24T09:00:00Z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