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Stormwater Permit Support</w:t>
      </w:r>
    </w:p>
    <w:p>
      <w:pPr>
        <w:pStyle w:val="Heading2"/>
      </w:pPr>
      <w:r>
        <w:t>Present</w:t>
      </w:r>
    </w:p>
    <w:p>
      <w:pPr>
        <w:pStyle w:val="ListBullet"/>
      </w:pPr>
      <w:r>
        <w:t>Joseph Nichols, Field Technician, Saltmarsh Environmental Partners</w:t>
      </w:r>
    </w:p>
    <w:p>
      <w:pPr>
        <w:pStyle w:val="ListBullet"/>
      </w:pPr>
      <w:r>
        <w:t>Heather Morton, Field Technician, Saltmarsh Environmental Partners</w:t>
      </w:r>
    </w:p>
    <w:p>
      <w:pPr>
        <w:pStyle w:val="ListBullet"/>
      </w:pPr>
      <w:r>
        <w:t>Robert Lopez, Director of Operations, Solis, Allen and Oconnell</w:t>
      </w:r>
    </w:p>
    <w:p>
      <w:pPr>
        <w:pStyle w:val="Heading2"/>
      </w:pPr>
      <w:r>
        <w:t>Discussion</w:t>
      </w:r>
    </w:p>
    <w:p>
      <w:r>
        <w:t>The work is on schedule at this point in the engagement, and nothing found so far changes the scope agreed at the start. The site has been walked, the outfalls are placed, and the pollution prevention plan is in draft. What stands between here and the filing is the plan's completion and the first monitoring round.</w:t>
      </w:r>
    </w:p>
    <w:p>
      <w:r>
        <w:t>Heather Morton and I walked the property and identified the points where stormwater leaves the site. Two of them are straightforward. A third, at the back of the yard where two drainage areas appear to meet, can be read as one outfall or as two, and it has been recorded both ways pending a return visit, so the plan does not commit to a boundary we are not yet sure of.</w:t>
      </w:r>
    </w:p>
    <w:p>
      <w:r>
        <w:t>The outfall survey was documented in full. Each point carries a photograph and a sketch keyed to the drainage map, so the placement can be checked without a second trip by anyone who was not there. Where a drainage boundary was inferred rather than seen on the ground, it is marked as inferred on the map.</w:t>
      </w:r>
    </w:p>
    <w:p>
      <w:r>
        <w:t>The plan is drafted to the site as it was found on the walk, and each control in it is tied to the activity it is meant to address, so a reviewer can see why it is there. The single open item is the back outfall, which the draft flags rather than resolves.</w:t>
      </w:r>
    </w:p>
    <w:p>
      <w:r>
        <w:t>The first monitoring round for Solis, Allen and Oconnell was discussed. The sampling points follow the confirmed outfalls, and the round will be scheduled once the back outfall is settled, so the baseline is not taken against a point that may still move. The results will be checked in the office before they are entered as the baseline.</w:t>
      </w:r>
    </w:p>
    <w:p>
      <w:r>
        <w:t>The sampling plan itself was reviewed. One sample will be taken at each confirmed outfall during a qualifying rain, with the field record completed at the point and the chain of custody kept from the yard to the laboratory. The round is a baseline, so the method is set now and held for the rounds that follow, which is what lets a later reviewer read them against each other.</w:t>
      </w:r>
    </w:p>
    <w:p>
      <w:r>
        <w:t>Mr. Lopez confirmed that access will stay open for the field team through the sampling. He also noted a change in the yard's material storage since the walk, which will be carried into the plan before it is finalized, since the plan is meant to match the yard as it actually runs.</w:t>
      </w:r>
    </w:p>
    <w:p>
      <w:r>
        <w:t>The immediate next step is the return visit to the back outfall. Once it is settled as one point or two, the monitoring round can be scheduled and the plan finalized against it, and the filing follows both. It was agreed that nothing is filed until the outfall is resolved and the first round is recorded.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Notes</w:t>
            </w:r>
          </w:p>
        </w:tc>
      </w:tr>
      <w:tr>
        <w:tc>
          <w:tcPr>
            <w:tcW w:type="dxa" w:w="2880"/>
          </w:tcPr>
          <w:p>
            <w:r>
              <w:t>Return to the back outfall and settle whether it is one point or two</w:t>
            </w:r>
          </w:p>
        </w:tc>
        <w:tc>
          <w:tcPr>
            <w:tcW w:type="dxa" w:w="2880"/>
          </w:tcPr>
          <w:p>
            <w:r>
              <w:t>Joseph Nichols</w:t>
            </w:r>
          </w:p>
        </w:tc>
        <w:tc>
          <w:tcPr>
            <w:tcW w:type="dxa" w:w="2880"/>
          </w:tcPr>
          <w:p>
            <w:r>
              <w:t>with Heather Morton</w:t>
            </w:r>
          </w:p>
        </w:tc>
      </w:tr>
      <w:tr>
        <w:tc>
          <w:tcPr>
            <w:tcW w:type="dxa" w:w="2880"/>
          </w:tcPr>
          <w:p>
            <w:r>
              <w:t>Finalize the pollution prevention plan against the confirmed outfalls</w:t>
            </w:r>
          </w:p>
        </w:tc>
        <w:tc>
          <w:tcPr>
            <w:tcW w:type="dxa" w:w="2880"/>
          </w:tcPr>
          <w:p>
            <w:r>
              <w:t>Heather Morton</w:t>
            </w:r>
          </w:p>
        </w:tc>
        <w:tc>
          <w:tcPr>
            <w:tcW w:type="dxa" w:w="2880"/>
          </w:tcPr>
          <w:p>
            <w:r>
              <w:t>after the return visit</w:t>
            </w:r>
          </w:p>
        </w:tc>
      </w:tr>
      <w:tr>
        <w:tc>
          <w:tcPr>
            <w:tcW w:type="dxa" w:w="2880"/>
          </w:tcPr>
          <w:p>
            <w:r>
              <w:t>Carry the change in material storage into the plan</w:t>
            </w:r>
          </w:p>
        </w:tc>
        <w:tc>
          <w:tcPr>
            <w:tcW w:type="dxa" w:w="2880"/>
          </w:tcPr>
          <w:p>
            <w:r>
              <w:t>Joseph Nichols</w:t>
            </w:r>
          </w:p>
        </w:tc>
        <w:tc>
          <w:tcPr>
            <w:tcW w:type="dxa" w:w="2880"/>
          </w:tcPr>
          <w:p>
            <w:r>
              <w:t>per the site note</w:t>
            </w:r>
          </w:p>
        </w:tc>
      </w:tr>
      <w:tr>
        <w:tc>
          <w:tcPr>
            <w:tcW w:type="dxa" w:w="2880"/>
          </w:tcPr>
          <w:p>
            <w:r>
              <w:t>Keep site access open through the sampling round</w:t>
            </w:r>
          </w:p>
        </w:tc>
        <w:tc>
          <w:tcPr>
            <w:tcW w:type="dxa" w:w="2880"/>
          </w:tcPr>
          <w:p>
            <w:r>
              <w:t>Robert Lopez</w:t>
            </w:r>
          </w:p>
        </w:tc>
        <w:tc>
          <w:tcPr>
            <w:tcW w:type="dxa" w:w="2880"/>
          </w:tcPr>
          <w:p>
            <w:r>
              <w:t>Solis, Allen and Oconnell</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Stormwater Permit Support for Solis, Allen and Oconnell</dc:title>
  <dc:subject/>
  <dc:creator>Joseph Nichols</dc:creator>
  <cp:keywords/>
  <dc:description>generated by python-docx</dc:description>
  <cp:lastModifiedBy>Joseph Nichols</cp:lastModifiedBy>
  <cp:revision>1</cp:revision>
  <dcterms:created xsi:type="dcterms:W3CDTF">2021-05-10T09:00:00Z</dcterms:created>
  <dcterms:modified xsi:type="dcterms:W3CDTF">2021-05-10T09:00:00Z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