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Saltmarsh Environmental Partners</w:t>
      </w:r>
    </w:p>
    <w:p>
      <w:r>
        <w:t>Saltmarsh Environmental Partners is a small environmental consultancy on the estuary. We opened in 2011 to do field-based environmental work well and close to home, and we have held the firm to a size where the people who sign a report are the same people who stood on the site and took the measurements behind it. There are five of us. That is a deliberate limit, not a phase we are trying to grow out of, and it means we take on the work we can do properly and turn the rest away. Most clients come to understand that once they have watched us work a site.</w:t>
      </w:r>
    </w:p>
    <w:p>
      <w:pPr>
        <w:pStyle w:val="Heading2"/>
      </w:pPr>
      <w:r>
        <w:t>The work we do</w:t>
      </w:r>
    </w:p>
    <w:p>
      <w:r>
        <w:t>Our work begins in the field and ends on a regulator's desk. We delineate wetlands, drawing and documenting the line a landowner needs before a project can move. We carry out Phase I environmental site assessments, the deed-and-file research into how a parcel was used and what that use may have left in the ground, paired with a walk of the site to test the record against what is actually there. We run sediment sampling programs, staged around the tide rather than the calendar, and we build the data workbooks a submission ultimately rests on. And we handle the long tail of monitoring that a restoration permit requires, the return visits stretched over years that show whether a marsh is coming back the way the permit said it would.</w:t>
      </w:r>
    </w:p>
    <w:p>
      <w:r>
        <w:t>Pamela Brown handles much of our delineation work. She will walk a wetland boundary as many times as it takes before she is willing to commit to a line, and she writes it up densely enough that a colleague could reconstruct the day from her notes alone. That is the standard across the field side: the record is written to be checked, not admired.</w:t>
      </w:r>
    </w:p>
    <w:p>
      <w:pPr>
        <w:pStyle w:val="Heading2"/>
      </w:pPr>
      <w:r>
        <w:t>Who we work for</w:t>
      </w:r>
    </w:p>
    <w:p>
      <w:r>
        <w:t>Our clients come from three directions, and each asks something a little different of us. There is a port authority, with land and water to manage and its own regulators to answer to. There is a county conservation district that holds ground in trust and needs it watched honestly rather than optimistically. And there are private landowners, who usually find us because a wetland sits between them and something they want to build, and who need that boundary drawn and defended before they can proceed. The work looks different across the three, but the obligation underneath it does not change. We measure carefully, we report exactly what we found and no more, and we set it down in a form that will still make plain sense to an agency reviewer who opens the file years after we have closed it.</w:t>
      </w:r>
    </w:p>
    <w:p>
      <w:pPr>
        <w:pStyle w:val="Heading2"/>
      </w:pPr>
      <w:r>
        <w:t>A recent engagement</w:t>
      </w:r>
    </w:p>
    <w:p>
      <w:r>
        <w:t>One current project gives a fair picture of how we operate. This year we are doing work for Dyer and Sons, and it has run the way we like a project to run: a scope agreed in plain language up front, fieldwork done on the estuary's schedule rather than our own convenience, and every figure checked before a page of it left the office. We offer it as a single illustration of the kind of work we take on, not as a summary of the firm, and as a matter of habit we keep one client's particulars well clear of any conversation with another.</w:t>
      </w:r>
    </w:p>
    <w:p>
      <w:pPr>
        <w:pStyle w:val="Heading2"/>
      </w:pPr>
      <w:r>
        <w:t>How the office runs</w:t>
      </w:r>
    </w:p>
    <w:p>
      <w:r>
        <w:t>A firm this size lives or dies on its record-keeping, so we treat that as real work and not overhead. Tammy Parks keeps the correspondence moving, which in our trade means the scopes that go out as letters and come back countersigned and scanned, filed so that we can always say who signed what and on what day it returned. Every workbook total is read and checked before a submission reaches an agency, on the plain principle that a number no one has verified is a number the firm cannot defend. And when a finding warrants a hedge, we write the hedge and stand by it. In this line of work an honest account of what we do not yet know is part of the finding, not an apology for it.</w:t>
      </w:r>
    </w:p>
    <w:p>
      <w:pPr>
        <w:pStyle w:val="Heading2"/>
      </w:pPr>
      <w:r>
        <w:t>Where to start</w:t>
      </w:r>
    </w:p>
    <w:p>
      <w:r>
        <w:t>If you have a parcel with a wetland question on it, a site whose history you need pinned down before you commit, or a monitoring obligation you would rather hand to people who will actually make the visits, the place to start is a conversation. Angela Flynn will walk you through what the work would involve, what it would cost, and what we would need from you to do it properly.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Angela Flynn</dc:creator>
  <cp:keywords/>
  <dc:description>generated by python-docx</dc:description>
  <cp:lastModifiedBy>Angela Flynn</cp:lastModifiedBy>
  <cp:revision>1</cp:revision>
  <dcterms:created xsi:type="dcterms:W3CDTF">2015-06-24T09:00:00Z</dcterms:created>
  <dcterms:modified xsi:type="dcterms:W3CDTF">2015-06-24T09:00:00Z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