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Saltmarsh Environmental Partners</w:t>
      </w:r>
    </w:p>
    <w:p>
      <w:r>
        <w:t>Saltmarsh Environmental Partners has been working the estuary since 2011. We are an environmental consultancy of five, and we have stayed that size on purpose, because the thing we actually sell is that the people who sign a report are the people who did the fieldwork behind it. That has not changed as the firm has aged, and we do not intend to change it. Clients hire us for judgment on the ground, and that judgment does not scale by adding names to a letterhead. We would rather be the right size for the work than the size a brochure wants us to be.</w:t>
      </w:r>
    </w:p>
    <w:p>
      <w:pPr>
        <w:pStyle w:val="Heading2"/>
      </w:pPr>
      <w:r>
        <w:t>The kind of work</w:t>
      </w:r>
    </w:p>
    <w:p>
      <w:r>
        <w:t>Ours is field work that answers to a regulator. We delineate wetlands so a landowner knows where the line falls before they design around it. We run Phase I environmental site assessments, tracing what a property was used for and what that past may have left behind. We take sediment samples and build the data workbooks a submission stands on. And we carry the monitoring that a restoration permit requires, the years of return visits that show, season by season, whether a marsh is recovering the way the permit promised. Nearly all of it begins with a day in the field and a notebook that has to be exact, because everything written later traces back to what someone recorded standing in the mud. Much of the work is patient and repetitive by nature, and we have built the firm around people who are steadied rather than bored by that.</w:t>
      </w:r>
    </w:p>
    <w:p>
      <w:pPr>
        <w:pStyle w:val="Heading2"/>
      </w:pPr>
      <w:r>
        <w:t>Clients and obligations</w:t>
      </w:r>
    </w:p>
    <w:p>
      <w:r>
        <w:t>We work for three kinds of client, and each asks something a little different. A port authority manages land and water and answers to its own regulators, so our job is to hand it a record it can defend. A county conservation district holds ground in the public trust and needs it watched over honestly. And private landowners come to us, most often, because a wetland stands between them and a plan, and they need it drawn and documented before anything moves. Across all three the discipline is identical: measure carefully, state exactly what was found, and write it so that an agency reviewer opening the file years from now can follow every step without us in the room to explain it.</w:t>
      </w:r>
    </w:p>
    <w:p>
      <w:pPr>
        <w:pStyle w:val="Heading2"/>
      </w:pPr>
      <w:r>
        <w:t>Two projects that show the pattern</w:t>
      </w:r>
    </w:p>
    <w:p>
      <w:r>
        <w:t>A pair of engagements from recent years gives a fair sense of how we operate. Our work for Dyer and Sons ran the way we like a project to run, from a scope set out in plain terms to a data set checked line by line before any of it left the office. The following year our engagement with Dyer and Sons asked much the same of us and got the same care. We put these forward as two illustrations of the work we take on, nothing more. They are not the whole of the book, and we keep one client's particulars well clear of another's.</w:t>
      </w:r>
    </w:p>
    <w:p>
      <w:pPr>
        <w:pStyle w:val="Heading2"/>
      </w:pPr>
      <w:r>
        <w:t>Keeping the record straight</w:t>
      </w:r>
    </w:p>
    <w:p>
      <w:r>
        <w:t>A firm this small survives on its record-keeping, so we are exacting about it. Scopes leave the office as letters and come back countersigned and scanned, and we can always say who signed what and when it returned. Every workbook total is checked before a submission reaches an agency, because a number no one has verified is a number the firm cannot stand behind. And when a finding calls for a hedge, we write the hedge and mean it. In this work an honest statement of what we do not yet know is part of the finding, not a softening of it, and a reviewer who trusts our uncertainties will trust our conclusions.</w:t>
      </w:r>
    </w:p>
    <w:p>
      <w:pPr>
        <w:pStyle w:val="Heading2"/>
      </w:pPr>
      <w:r>
        <w:t>Getting in touch</w:t>
      </w:r>
    </w:p>
    <w:p>
      <w:r>
        <w:t>If you are facing a wetland line, a site whose history needs pinning down, or a monitoring obligation you would rather hand to people who will make every visit, the sensible first step is a conversation rather than a proposal. Angela Flynn can talk you through what the work would involve, what it would cost, and what we would need from you to do it right.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Angela Flynn</dc:creator>
  <cp:keywords/>
  <dc:description>generated by python-docx</dc:description>
  <cp:lastModifiedBy>Angela Flynn</cp:lastModifiedBy>
  <cp:revision>1</cp:revision>
  <dcterms:created xsi:type="dcterms:W3CDTF">2018-06-23T09:00:00Z</dcterms:created>
  <dcterms:modified xsi:type="dcterms:W3CDTF">2018-06-23T09:00:00Z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