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Saltmarsh Environmental Partners</w:t>
      </w:r>
    </w:p>
    <w:p>
      <w:r>
        <w:t>Saltmarsh Environmental Partners is a small environmental consulting firm that has worked on the same tidal estuary since 2011. There are five of us. We are the people a landowner, an agency, or a builder calls when a project runs up against the water and someone has to say, on the record, where the wetland begins and what it will take to work near it. That is a narrow kind of practice, and we have kept it narrow on purpose, because the value we offer is in knowing this ground and standing behind what we write about it.</w:t>
      </w:r>
    </w:p>
    <w:p>
      <w:r>
        <w:t>Our clients are the people and bodies with a stake in this shoreline. A port authority manages a working waterfront and has to keep its projects on the right side of the permits that govern the water. A county conservation district looks after the district's wetlands and the restoration work that repairs them. And private landowners, from a family with a few acres to a developer with a site plan, need a wetland line drawn before they can build. Their needs are not the same, but they come down to the same requirement: an accurate reading of what is on the ground and a document an agency will accept.</w:t>
      </w:r>
    </w:p>
    <w:p>
      <w:pPr>
        <w:pStyle w:val="Heading2"/>
      </w:pPr>
      <w:r>
        <w:t>The work</w:t>
      </w:r>
    </w:p>
    <w:p>
      <w:r>
        <w:t>The firm was built around field work. Most of what we produce begins with someone standing in the marsh with a notebook and ends with a report an agency reviewer will read, often long after the fact, to decide whether a permit was met. Between those two points is the whole of our craft: careful observation, a checkable record, and prose plain enough that the reader is never in doubt about what was measured, where, and on what day.</w:t>
      </w:r>
    </w:p>
    <w:p>
      <w:r>
        <w:t>The work itself falls into four kinds. We delineate wetlands, which means walking a property and drawing the line between upland and wetland by the soils, the water, and the vegetation, so that an owner knows what can be built and what cannot. We conduct Phase I environmental site assessments, the records-and-observation review a buyer or a lender needs before a property changes hands. We design and run sampling programs, sediment and water, and we build the data workbooks that carry the results; every total in them is checked by hand before it goes to an agency. And we carry the long tail of monitoring that a restoration permit requires, returning to a site season after season to record whether what was promised is actually taking hold.</w:t>
      </w:r>
    </w:p>
    <w:p>
      <w:pPr>
        <w:pStyle w:val="Heading2"/>
      </w:pPr>
      <w:r>
        <w:t>How we work</w:t>
      </w:r>
    </w:p>
    <w:p>
      <w:r>
        <w:t>A few things are true of everything that leaves this office. We write in the plain, technical register that an agency reviewer expects, and we hedge a finding when the evidence asks us to, because a hedge is a professional obligation in this work and not a weakness in it. Nobody here oversells a result. And no number reaches an agency that I have not checked myself; a figure I cannot defend is a figure I will not submit. That habit is slower than the alternative, and it is the reason clients who need a defensible record keep coming back to us.</w:t>
      </w:r>
    </w:p>
    <w:p>
      <w:r>
        <w:t>Being small is deliberate. On any given file the same few people do the field work, the analysis, and the writing, so the person who stood on the site is also the one who writes the finding about it, and nothing is lost in a handoff between a crew that saw the ground and an office that did not.</w:t>
      </w:r>
    </w:p>
    <w:p>
      <w:pPr>
        <w:pStyle w:val="Heading2"/>
      </w:pPr>
      <w:r>
        <w:t>A sample of the work</w:t>
      </w:r>
    </w:p>
    <w:p>
      <w:r>
        <w:t>The clearest way to describe our practice is to point to some of it. Over the last several years we have done delineations, assessments, sampling, and monitoring for a mix of public agencies and private landowners along this estuary. Among the engagements that fairly represent that range is our work for Dyer and Sons, Dyer and Sons, Salazar-Mendoza, Carter and Sons, and Solis, Allen and Oconnell. These are examples chosen to show the kind of work we take on and the sort of client we serve; they are not the whole of our practice, and no list this short could be. What they have in common is what every engagement here has in common: a permit or a decision waiting on the other side of a record we are willing to sign.</w:t>
      </w:r>
    </w:p>
    <w:p>
      <w:r>
        <w:t>If any of this matches a problem you are facing, we are easy to reach, and I answer for the firm's work myself. Call and we will tell you plainly whether it is work we can do well, and if it is, what it will take.</w:t>
      </w:r>
    </w:p>
    <w:p>
      <w:r>
        <w:t>Angela Flynn,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Angela Flynn</dc:creator>
  <cp:keywords/>
  <dc:description>generated by python-docx</dc:description>
  <cp:lastModifiedBy>Angela Flynn</cp:lastModifiedBy>
  <cp:revision>1</cp:revision>
  <dcterms:created xsi:type="dcterms:W3CDTF">2021-06-22T09:00:00Z</dcterms:created>
  <dcterms:modified xsi:type="dcterms:W3CDTF">2021-06-22T09:00:00Z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