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Staff: James Henderson</w:t>
      </w:r>
    </w:p>
    <w:p>
      <w:r>
        <w:t>This note goes in the file to mark that James Henderson started with us on Monday as an Environmental Scientist. We do not hire often, and when we do it is because we have seen the work and not just the resume. James came to us out of Phase I assessment work, and what stood out was the discipline of it: findings that state what the record supports and then stop, without reaching for a conclusion the sources cannot hold. That is exactly the temper this firm runs on, and it is harder to teach than most people think.</w:t>
      </w:r>
    </w:p>
    <w:p>
      <w:r>
        <w:t>He sits on the consulting side. His main charge will be our Phase I environmental site assessments, the deed-and-file research into what a property was used for and what that history might leave in the ground, paired with the site reconnaissance that either backs the record up or complicates it. It is patient, unglamorous work, and it often decides whether a client walks into a purchase with their eyes open. James reports to John Sanchez, our Senior Scientist, who will assign his first assessments and read every draft before it leaves the office.</w:t>
      </w:r>
    </w:p>
    <w:p>
      <w:r>
        <w:t>A few things I want set down early, because they matter more here than the pace of the work. We write for a reviewer, not a reader, so an assessment should be clean, sourced, and cautious about what it infers. Where the record is thin, say so plainly; a well-placed hedge is a professional obligation in this trade, and I will never fault a finding for admitting the limits of what we know. What I will question, every time, is a conclusion the file underneath it does not carry.</w:t>
      </w:r>
    </w:p>
    <w:p>
      <w:r>
        <w:t>For the first few weeks, John will keep James close to work already underway, so he learns how we source, cite, and archive before he carries an assessment alone. The reference files, the standing checklist we work a Phase I against, and our habits for keeping a clean chain from source to statement are all his to ask about, and he should ask early rather than guess. Say hello when you see him at the far desk. We are glad to have him.</w:t>
      </w:r>
    </w:p>
    <w:p>
      <w:r>
        <w:t>Angela Flynn,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James Henderson</dc:title>
  <dc:subject/>
  <dc:creator>Angela Flynn</dc:creator>
  <cp:keywords/>
  <dc:description>generated by python-docx</dc:description>
  <cp:lastModifiedBy>Angela Flynn</cp:lastModifiedBy>
  <cp:revision>1</cp:revision>
  <dcterms:created xsi:type="dcterms:W3CDTF">2015-08-07T09:00:00Z</dcterms:created>
  <dcterms:modified xsi:type="dcterms:W3CDTF">2015-08-07T09:00:00Z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