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Status report on the service line assessment. Prepared for the executive sponsor at Johnson, Cross and Gibbs by Daniel Alvarado, Senior Consultant.</w:t>
      </w:r>
    </w:p>
    <w:p>
      <w:pPr>
        <w:pStyle w:val="Heading2"/>
      </w:pPr>
      <w:r>
        <w:t>Status Summary</w:t>
      </w:r>
    </w:p>
    <w:p>
      <w:r>
        <w:t>The assessment for Johnson, Cross and Gibbs is on schedule against the plan we set at kickoff. The contribution margin model now covers the majority of the lines in scope, revenue cycle tracing is under way across the remainder, and the dependency inventory is current. Two data extracts remain outstanding and are the only item that could move the schedule; both are logged and being chased from your side. We have no change to the scope, the plan, or the fee to report, and no request to make of you beyond those extracts.</w:t>
      </w:r>
    </w:p>
    <w:p>
      <w:r>
        <w:t>One point of method, since this report will be read by people who did not attend the working sessions. Nothing in this document is a finding. Findings will be delivered as findings, labeled, with the workpapers behind them available on request. What follows is a description of work performed and of matters we are examining. Where a matter is unresolved, we have said that it is unresolved rather than gesturing at the answer we expect to reach.</w:t>
      </w:r>
    </w:p>
    <w:p>
      <w:pPr>
        <w:pStyle w:val="Heading2"/>
      </w:pPr>
      <w:r>
        <w:t>Accomplishments This Period</w:t>
      </w:r>
    </w:p>
    <w:p>
      <w:r>
        <w:t>Susan Clark completed the contribution margin build for the majority of the in-scope lines, working from your existing cost accounting output. Each line's build carries its assumptions in an open log rather than an appendix compiled at the end, and the log is available to your finance staff on request. She has also added a comparison against the periods not affected by this year's volume disruption. That comparison rests on a stated assumption about the allocation basis, and the assumption is on the face of the model rather than buried in it.</w:t>
      </w:r>
    </w:p>
    <w:p>
      <w:r>
        <w:t>Patricia Moore completed end-to-end tracing of the revenue cycle for the initial lines and is working through the remainder. Her method is to establish the full sequence before naming any failure point, which is slower than the alternative and produces claims we can defend. Where she has identified a pattern, she has traced it to the step at which it occurs and no further than the evidence carries.</w:t>
      </w:r>
    </w:p>
    <w:p>
      <w:r>
        <w:t>I completed the inventory of compensation arrangements touching the in-scope lines. The inventory records, for each arrangement, what we reviewed and what we did not. It is a status list. It is not, and should not be read as, an evaluation of any arrangement. Where a line's economics depend on such an arrangement, we have flagged the dependency and stopped, consistent with the scope in the engagement letter.</w:t>
      </w:r>
    </w:p>
    <w:p>
      <w:pPr>
        <w:pStyle w:val="Heading2"/>
      </w:pPr>
      <w:r>
        <w:t>Upcoming Work</w:t>
      </w:r>
    </w:p>
    <w:p>
      <w:r>
        <w:t>The immediate work is to close the remaining lines in the margin model once the outstanding extracts arrive, complete revenue cycle tracing across those lines, and resolve the allocation question on the one line whose reported margin depends on an overhead allocation we have not yet traced to source. That line's figure carries a qualification in everything we produce until the trace is complete, and it will keep the qualification if the trace does not resolve it.</w:t>
      </w:r>
    </w:p>
    <w:p>
      <w:r>
        <w:t>After that, the work moves from building to writing. Findings will be drafted line by line, reviewed internally, and brought to you in working session rather than arriving as a finished report you see for the first time at the end. Recommendations, where the findings support them, will be drafted separately and labeled as recommendations. Susan Clark will present the completed margin build and its assumption log when the model covers every line in scope.</w:t>
      </w:r>
    </w:p>
    <w:p>
      <w:pPr>
        <w:pStyle w:val="Heading2"/>
      </w:pPr>
      <w:r>
        <w:t>Budget</w:t>
      </w:r>
    </w:p>
    <w:p>
      <w:r>
        <w:t>The engagement is fixed-fee at $53,000, invoiced in equal monthly installments. Effort expended to date is consistent with that fee and with the plan. We do not anticipate a request to amend it, and we would tell you now if we did. Should you ask us to expand the scope, the addition would be priced in writing before any work on it began.</w:t>
      </w:r>
    </w:p>
    <w:p>
      <w:pPr>
        <w:pStyle w:val="Heading2"/>
      </w:pPr>
      <w:r>
        <w:t>Risks</w:t>
      </w:r>
    </w:p>
    <w:p>
      <w:r>
        <w:t>The two outstanding extracts are the principal scheduling risk. If they arrive within the next two weeks, the schedule absorbs the delay. Beyond that, the margin model cannot be represented as covering the full scope, and we will not represent it as such.</w:t>
      </w:r>
    </w:p>
    <w:p>
      <w:r>
        <w:t>The unresolved allocation is the principal analytical risk. If the trace shows the allocation basis is sound, the affected line's result stands as built. If it does not, that line's result changes and possibly its direction. We are not going to predict which, and we would ask that nobody plan around the current figure for that line until the trace closes.</w:t>
      </w:r>
    </w:p>
    <w:p>
      <w:r>
        <w:t>The comparability of this year's periods remains a limitation on the whole assessment rather than a risk we can retire. We are presenting affected and unaffected periods separately and stating which we believe should inform a decision. That is the most the data supports, and no amount of additional analysis will make this year's months into an ordinary trailing period.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Verdant Health Advisory LLC</w:t>
    </w:r>
  </w:p>
  <w:p>
    <w:r>
      <w:rPr>
        <w:sz w:val="18"/>
      </w:rPr>
      <w:t>www.verdanthealthadvisory.com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Verdant Health Advisory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Service Line Assessment for Johnson, Cross and Gibbs</dc:title>
  <dc:subject/>
  <dc:creator>Daniel Alvarado</dc:creator>
  <cp:keywords/>
  <dc:description>generated by python-docx</dc:description>
  <cp:lastModifiedBy>Daniel Alvarado</cp:lastModifiedBy>
  <cp:revision>1</cp:revision>
  <dcterms:created xsi:type="dcterms:W3CDTF">2020-11-13T09:00:00Z</dcterms:created>
  <dcterms:modified xsi:type="dcterms:W3CDTF">2020-11-13T09:00:00Z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