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pPr>
        <w:pStyle w:val="ListBullet"/>
      </w:pPr>
      <w:r>
        <w:t>To: Engagement team</w:t>
      </w:r>
    </w:p>
    <w:p>
      <w:pPr>
        <w:pStyle w:val="ListBullet"/>
      </w:pPr>
      <w:r>
        <w:t>From: Patricia Moore</w:t>
      </w:r>
    </w:p>
    <w:p>
      <w:pPr>
        <w:pStyle w:val="ListBullet"/>
      </w:pPr>
      <w:r>
        <w:t>Re: Kickoff, physician compensation review, Johnson, Cross and Gibbs</w:t>
      </w:r>
    </w:p>
    <w:p>
      <w:pPr>
        <w:pStyle w:val="Heading2"/>
      </w:pPr>
      <w:r>
        <w:t>Objectives</w:t>
      </w:r>
    </w:p>
    <w:p>
      <w:r>
        <w:t>The signed letter is back and the engagement opened on June 10, 2021. What Johnson, Cross and Gibbs has asked us for is narrower than the conversation that produced it, so I want the objective written down before anyone starts pulling data. We are determining, for each compensation arrangement in the inventory the client gives us, whether the compensation payable is consistent with fair market value and commercially reasonable, and whether the arrangement as administered matches the arrangement as written. Everything else is out of scope until Laura says otherwise in writing.</w:t>
      </w:r>
    </w:p>
    <w:p>
      <w:r>
        <w:t>The second half of that objective is the part I expect to occupy us. Agreements say one thing; the payroll file says what actually happened. Daniel Alvarado's view, and I agree with it, is that we should not form any opinion on the written arrangement until we can reconcile it to what was paid, because a clean agreement administered loosely is a different problem from a loose agreement, and the client needs to know which one they have. I would rather find the gap ourselves in week two than have counsel find it in month three.</w:t>
      </w:r>
    </w:p>
    <w:p>
      <w:pPr>
        <w:pStyle w:val="Heading2"/>
      </w:pPr>
      <w:r>
        <w:t>Workstreams</w:t>
      </w:r>
    </w:p>
    <w:p>
      <w:pPr>
        <w:pStyle w:val="ListBullet"/>
      </w:pPr>
      <w:r>
        <w:t>Arrangement inventory. I own this. Build the complete list of physician compensation arrangements in scope, with the governing agreement and all amendments attached to each entry. The inventory is not done when the client's list is transcribed; it is done when every arrangement on the client's list ties to a document we hold and every physician on the payroll extract ties to an arrangement. Discrepancies in either direction go on the open-items log, not into a footnote.</w:t>
      </w:r>
    </w:p>
    <w:p>
      <w:pPr>
        <w:pStyle w:val="ListBullet"/>
      </w:pPr>
      <w:r>
        <w:t>Payment reconciliation. Also mine. For each arrangement, tie compensation actually paid over the review period back to the calculation the agreement specifies. Where I cannot tie it, I want the sequence documented step by step, from the productivity capture through to the payroll entry, so we can name the point where it diverges rather than asserting that it diverges.</w:t>
      </w:r>
    </w:p>
    <w:p>
      <w:pPr>
        <w:pStyle w:val="ListBullet"/>
      </w:pPr>
      <w:r>
        <w:t>Fair-market-value analysis. Daniel Alvarado owns this. Survey selection, comparable set, specialty and geography matching, and the written record of what was relied on and what was set aside. Nothing in this workstream starts until the inventory for a given arrangement is closed, because re-running an analysis against a corrected inventory wastes the analysis and the client's money.</w:t>
      </w:r>
    </w:p>
    <w:p>
      <w:pPr>
        <w:pStyle w:val="ListBullet"/>
      </w:pPr>
      <w:r>
        <w:t>Approval documentation. Shared. Collect the record of how each arrangement was approved and by whom. This is usually the thinnest file and the one that takes longest to shake loose, which is why it starts now and not later.</w:t>
      </w:r>
    </w:p>
    <w:p>
      <w:pPr>
        <w:pStyle w:val="ListBullet"/>
      </w:pPr>
      <w:r>
        <w:t>Open-items log. Mine to maintain. Every document we asked for and have not received, every question we asked and have not had answered, with the date asked. This goes to the client with each status update. It is not a complaint file; it is how we keep the schedule honest when a delay is on their side.</w:t>
      </w:r>
    </w:p>
    <w:p>
      <w:pPr>
        <w:pStyle w:val="Heading2"/>
      </w:pPr>
      <w:r>
        <w:t>Working practices</w:t>
      </w:r>
    </w:p>
    <w:p>
      <w:r>
        <w:t>Workpapers as you go, not at the end. Every figure that reaches a deliverable needs to be something one of us can produce on request within a minute, with its source named. If a draft asserts something we have not traced end to end, I will send it back, and I would rather do that on an internal draft than have Laura do it on a client-ready one.</w:t>
      </w:r>
    </w:p>
    <w:p>
      <w:r>
        <w:t>On data: ask for the minimum. We agreed to limit what comes over to what the analysis needs, so productivity extracts should come to us de-identified at the physician-encounter level. If someone at the client offers us a fuller file because it is easier for them to pull, decline it politely and tell me.</w:t>
      </w:r>
    </w:p>
    <w:p>
      <w:pPr>
        <w:pStyle w:val="Heading2"/>
      </w:pPr>
      <w:r>
        <w:t>Next steps</w:t>
      </w:r>
    </w:p>
    <w:p>
      <w:pPr>
        <w:pStyle w:val="ListBullet"/>
      </w:pPr>
      <w:r>
        <w:t>Initial document request went to Laura Phillips, Chief Financial Officer, the day the signed letter arrived. Response window is two weeks.</w:t>
      </w:r>
    </w:p>
    <w:p>
      <w:pPr>
        <w:pStyle w:val="ListBullet"/>
      </w:pPr>
      <w:r>
        <w:t>Kickoff call with the client's finance and legal contacts to be scheduled in the next several days. Daniel Alvarado leads; I will circulate an agenda beforehand and written notes after.</w:t>
      </w:r>
    </w:p>
    <w:p>
      <w:pPr>
        <w:pStyle w:val="ListBullet"/>
      </w:pPr>
      <w:r>
        <w:t>I will stand up the inventory template and the open-items log this week and send both around for comment before we populate anything.</w:t>
      </w:r>
    </w:p>
    <w:p>
      <w:pPr>
        <w:pStyle w:val="ListBullet"/>
      </w:pPr>
      <w:r>
        <w:t>Once the first tranche of agreements lands, we split the reading: I take the productivity and payment mechanics, Daniel Alvarado takes the compensation terms themselves.</w:t>
      </w:r>
    </w:p>
    <w:p>
      <w:pPr>
        <w:pStyle w:val="ListBullet"/>
      </w:pPr>
      <w:r>
        <w:t>Flag anything that looks like a scope question to me immediately. Do not absorb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Physician Compensation Review for Johnson, Cross and Gibbs</dc:title>
  <dc:subject/>
  <dc:creator>Patricia Moore</dc:creator>
  <cp:keywords/>
  <dc:description>generated by python-docx</dc:description>
  <cp:lastModifiedBy>Patricia Moore</cp:lastModifiedBy>
  <cp:revision>1</cp:revision>
  <dcterms:created xsi:type="dcterms:W3CDTF">2021-06-13T09:00:00Z</dcterms:created>
  <dcterms:modified xsi:type="dcterms:W3CDTF">2021-06-13T09:00:00Z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