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service line assessment for Johnson, Cross and Gibbs. Minutes taken by Susan Clark.</w:t>
      </w:r>
    </w:p>
    <w:p>
      <w:pPr>
        <w:pStyle w:val="Heading2"/>
      </w:pPr>
      <w:r>
        <w:t>Attendees</w:t>
      </w:r>
    </w:p>
    <w:p>
      <w:pPr>
        <w:pStyle w:val="ListBullet"/>
      </w:pPr>
      <w:r>
        <w:t>Susan Clark, Principal</w:t>
      </w:r>
    </w:p>
    <w:p>
      <w:pPr>
        <w:pStyle w:val="ListBullet"/>
      </w:pPr>
      <w:r>
        <w:t>Daniel Alvarado, Senior Consultant</w:t>
      </w:r>
    </w:p>
    <w:p>
      <w:pPr>
        <w:pStyle w:val="ListBullet"/>
      </w:pPr>
      <w:r>
        <w:t>Patricia Moore, Analyst</w:t>
      </w:r>
    </w:p>
    <w:p>
      <w:pPr>
        <w:pStyle w:val="ListBullet"/>
      </w:pPr>
      <w:r>
        <w:t>Angela Mahoney, General Manager, Johnson, Cross and Gibbs</w:t>
      </w:r>
    </w:p>
    <w:p>
      <w:pPr>
        <w:pStyle w:val="Heading2"/>
      </w:pPr>
      <w:r>
        <w:t>Discussion</w:t>
      </w:r>
    </w:p>
    <w:p>
      <w:r>
        <w:t>The contribution margin build now covers four of the lines in scope. Two of the four are negative after direct costs. That is the result. What should be done about it is not in these minutes and was not discussed as though it were settled.</w:t>
      </w:r>
    </w:p>
    <w:p>
      <w:r>
        <w:t>Angela Mahoney asked whether the two negative results are an artifact of this year. Partly. We ran both lines against the unaffected periods and both remain negative there, by less. I want the assumption in the open: the unaffected-period view uses the same allocation basis as the current one, and if that basis is wrong the direction of the answer could change for one of the two. It would not change for the other.</w:t>
      </w:r>
    </w:p>
    <w:p>
      <w:r>
        <w:t>The allocation question from the last session is not resolved. One line's reported margin turns on an overhead allocation we have not traced to source. Until we trace it, that line's number carries an asterisk in everything we produce, and I asked that nobody quote it internally without the asterisk attached.</w:t>
      </w:r>
    </w:p>
    <w:p>
      <w:r>
        <w:t>Patricia Moore walked the group through the denial pattern in one line. The denials cluster at a single step in the cycle. She has traced the sequence but not yet to the point where she is willing to name the failure, and she declined to characterize it further when asked to. That was the right answer and I said so in the room.</w:t>
      </w:r>
    </w:p>
    <w:p>
      <w:r>
        <w:t>Daniel Alvarado noted that one line's cost structure depends on a physician arrangement that we have not reviewed and are not engaged to review. He has logged the dependency and its status. He was explicit that logging a dependency is not a view on it, and that nothing in our workpapers should be read as one. Angela Mahoney will raise internally whether her counsel wants that arrangement looked at separately, on a separate engagement.</w:t>
      </w:r>
    </w:p>
    <w:p>
      <w:r>
        <w:t>Two extracts remain outstanding. Angela Mahoney will chase them from her side. We agreed that the model will not be presented as complete until those are in, even if the remaining lines are finished first.</w:t>
      </w:r>
    </w:p>
    <w:p>
      <w:r>
        <w:t>Daniel Alvarado raised the volume question in the other direction, which was useful. If a line is negative in the unaffected periods and less negative in the affected ones, the affected months are not the explanation and we should stop treating this year as the answer to everything. I agree. The write-up will treat the disruption as a limitation on comparability and not as a cause of any result it does not actually cause.</w:t>
      </w:r>
    </w:p>
    <w:p>
      <w:r>
        <w:t>Angela Mahoney asked when she will see something in writing. Findings will come to her in working session as they firm up, not as a finished report she reads for the first time at the end. Patricia Moore's revenue cycle section will be the first piece to circulate, because it is the closest to defensible. Nothing goes over labeled as a recommendation until the finding under it is settled, and today none of them are.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Trace the overhead allocation for the flagged line to source</w:t>
            </w:r>
          </w:p>
        </w:tc>
        <w:tc>
          <w:tcPr>
            <w:tcW w:type="dxa" w:w="2880"/>
          </w:tcPr>
          <w:p>
            <w:r>
              <w:t>Susan Clark</w:t>
            </w:r>
          </w:p>
        </w:tc>
        <w:tc>
          <w:tcPr>
            <w:tcW w:type="dxa" w:w="2880"/>
          </w:tcPr>
          <w:p>
            <w:r>
              <w:t>Before the next working session</w:t>
            </w:r>
          </w:p>
        </w:tc>
      </w:tr>
      <w:tr>
        <w:tc>
          <w:tcPr>
            <w:tcW w:type="dxa" w:w="2880"/>
          </w:tcPr>
          <w:p>
            <w:r>
              <w:t>Complete end-to-end trace of the denial cluster; report sequence before naming the failure point</w:t>
            </w:r>
          </w:p>
        </w:tc>
        <w:tc>
          <w:tcPr>
            <w:tcW w:type="dxa" w:w="2880"/>
          </w:tcPr>
          <w:p>
            <w:r>
              <w:t>Patricia Moore</w:t>
            </w:r>
          </w:p>
        </w:tc>
        <w:tc>
          <w:tcPr>
            <w:tcW w:type="dxa" w:w="2880"/>
          </w:tcPr>
          <w:p>
            <w:r>
              <w:t>Before the next working session</w:t>
            </w:r>
          </w:p>
        </w:tc>
      </w:tr>
      <w:tr>
        <w:tc>
          <w:tcPr>
            <w:tcW w:type="dxa" w:w="2880"/>
          </w:tcPr>
          <w:p>
            <w:r>
              <w:t>Circulate the dependency inventory with current status</w:t>
            </w:r>
          </w:p>
        </w:tc>
        <w:tc>
          <w:tcPr>
            <w:tcW w:type="dxa" w:w="2880"/>
          </w:tcPr>
          <w:p>
            <w:r>
              <w:t>Daniel Alvarado</w:t>
            </w:r>
          </w:p>
        </w:tc>
        <w:tc>
          <w:tcPr>
            <w:tcW w:type="dxa" w:w="2880"/>
          </w:tcPr>
          <w:p>
            <w:r>
              <w:t>Within one week</w:t>
            </w:r>
          </w:p>
        </w:tc>
      </w:tr>
      <w:tr>
        <w:tc>
          <w:tcPr>
            <w:tcW w:type="dxa" w:w="2880"/>
          </w:tcPr>
          <w:p>
            <w:r>
              <w:t>Chase the two outstanding extracts</w:t>
            </w:r>
          </w:p>
        </w:tc>
        <w:tc>
          <w:tcPr>
            <w:tcW w:type="dxa" w:w="2880"/>
          </w:tcPr>
          <w:p>
            <w:r>
              <w:t>Angela Mahoney</w:t>
            </w:r>
          </w:p>
        </w:tc>
        <w:tc>
          <w:tcPr>
            <w:tcW w:type="dxa" w:w="2880"/>
          </w:tcPr>
          <w:p>
            <w:r>
              <w:t>Within one week</w:t>
            </w:r>
          </w:p>
        </w:tc>
      </w:tr>
      <w:tr>
        <w:tc>
          <w:tcPr>
            <w:tcW w:type="dxa" w:w="2880"/>
          </w:tcPr>
          <w:p>
            <w:r>
              <w:t>Confirm internally whether counsel wants the physician arrangement reviewed separately</w:t>
            </w:r>
          </w:p>
        </w:tc>
        <w:tc>
          <w:tcPr>
            <w:tcW w:type="dxa" w:w="2880"/>
          </w:tcPr>
          <w:p>
            <w:r>
              <w:t>Angela Mahoney</w:t>
            </w:r>
          </w:p>
        </w:tc>
        <w:tc>
          <w:tcPr>
            <w:tcW w:type="dxa" w:w="2880"/>
          </w:tcPr>
          <w:p>
            <w:r>
              <w:t>Before the next status report</w:t>
            </w:r>
          </w:p>
        </w:tc>
      </w:tr>
      <w:tr>
        <w:tc>
          <w:tcPr>
            <w:tcW w:type="dxa" w:w="2880"/>
          </w:tcPr>
          <w:p>
            <w:r>
              <w:t>Add the unaffected-period comparison and its stated assumption to the model</w:t>
            </w:r>
          </w:p>
        </w:tc>
        <w:tc>
          <w:tcPr>
            <w:tcW w:type="dxa" w:w="2880"/>
          </w:tcPr>
          <w:p>
            <w:r>
              <w:t>Susan Clark</w:t>
            </w:r>
          </w:p>
        </w:tc>
        <w:tc>
          <w:tcPr>
            <w:tcW w:type="dxa" w:w="2880"/>
          </w:tcPr>
          <w:p>
            <w:r>
              <w:t>Before the next working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Service Line Assessment for Johnson, Cross and Gibbs</dc:title>
  <dc:subject/>
  <dc:creator>Susan Clark</dc:creator>
  <cp:keywords/>
  <dc:description>generated by python-docx</dc:description>
  <cp:lastModifiedBy>Susan Clark</cp:lastModifiedBy>
  <cp:revision>1</cp:revision>
  <dcterms:created xsi:type="dcterms:W3CDTF">2020-10-23T09:00:00Z</dcterms:created>
  <dcterms:modified xsi:type="dcterms:W3CDTF">2020-10-23T09:00:00Z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