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Working session on the service line assessment for Johnson, Cross and Gibbs. Minutes taken by Susan Clark.</w:t>
      </w:r>
    </w:p>
    <w:p>
      <w:pPr>
        <w:pStyle w:val="Heading2"/>
      </w:pPr>
      <w:r>
        <w:t>Attendees</w:t>
      </w:r>
    </w:p>
    <w:p>
      <w:pPr>
        <w:pStyle w:val="ListBullet"/>
      </w:pPr>
      <w:r>
        <w:t>Susan Clark, Principal</w:t>
      </w:r>
    </w:p>
    <w:p>
      <w:pPr>
        <w:pStyle w:val="ListBullet"/>
      </w:pPr>
      <w:r>
        <w:t>Daniel Alvarado, Senior Consultant</w:t>
      </w:r>
    </w:p>
    <w:p>
      <w:pPr>
        <w:pStyle w:val="ListBullet"/>
      </w:pPr>
      <w:r>
        <w:t>Patricia Moore, Analyst</w:t>
      </w:r>
    </w:p>
    <w:p>
      <w:pPr>
        <w:pStyle w:val="ListBullet"/>
      </w:pPr>
      <w:r>
        <w:t>Angela Mahoney, General Manager, Johnson, Cross and Gibbs</w:t>
      </w:r>
    </w:p>
    <w:p>
      <w:pPr>
        <w:pStyle w:val="Heading2"/>
      </w:pPr>
      <w:r>
        <w:t>Discussion</w:t>
      </w:r>
    </w:p>
    <w:p>
      <w:r>
        <w:t>The margin model covers every line in scope. The draft findings are circulating internally and Laura has them. Angela Mahoney has the draft findings section as well, ahead of the recommendations, which is deliberate: we would rather the findings be argued with on their own before anyone reads what we suggest doing about them.</w:t>
      </w:r>
    </w:p>
    <w:p>
      <w:r>
        <w:t>The allocation trace is closed. The basis holds. The affected line's result stands as built and the qualification comes off it. I said at the time that the trace could have gone the other way and changed that line's direction; it did not, and the workpaper shows why.</w:t>
      </w:r>
    </w:p>
    <w:p>
      <w:r>
        <w:t>Three lines are negative after direct costs. Two of the three remain negative in the unaffected periods. The third is negative only in the affected periods and I am not willing to call it a structurally negative line on this evidence. The draft says exactly that. Angela Mahoney asked whether we could firm it up. Not with this data. Another year of it would settle the question and we do not have another year of it.</w:t>
      </w:r>
    </w:p>
    <w:p>
      <w:r>
        <w:t>Patricia Moore closed the denial trace. The failure point is named in the draft, the sequence leading to it is documented, and every figure she has quoted ties to a workpaper. She walked the group through the sequence before naming the step, as she has done throughout, and nobody had a question she could not answer from the papers in front of her.</w:t>
      </w:r>
    </w:p>
    <w:p>
      <w:r>
        <w:t>Daniel Alvarado confirmed the dependency inventory is final for our purposes. Two lines depend on physician arrangements we have not reviewed and were not engaged to review. The draft records the dependency and its effect on what we can conclude for those lines, and records nothing else about the arrangements. He was clear that the wording is not a hedge but a boundary, and that it should not be softened in editing. Angela Mahoney reported that counsel is considering a separate review of one arrangement; that would be a separate engagement and is not in front of us today.</w:t>
      </w:r>
    </w:p>
    <w:p>
      <w:r>
        <w:t>We discussed the shape of the recommendations. Recommendations will be a separate section, labeled, and each will name the findings it rests on. Where I would do something the findings do not compel, that is going in as an opinion and marked as one. Angela Mahoney asked for the recommendations to be actionable. They will be specific. Whether her board finds them palatable is a different question and not one the analysis answers.</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Owner</w:t>
            </w:r>
          </w:p>
        </w:tc>
        <w:tc>
          <w:tcPr>
            <w:tcW w:type="dxa" w:w="2880"/>
          </w:tcPr>
          <w:p>
            <w:r>
              <w:rPr>
                <w:b/>
              </w:rPr>
              <w:t>Due</w:t>
            </w:r>
          </w:p>
        </w:tc>
      </w:tr>
      <w:tr>
        <w:tc>
          <w:tcPr>
            <w:tcW w:type="dxa" w:w="2880"/>
          </w:tcPr>
          <w:p>
            <w:r>
              <w:t>Return comments on the draft findings section</w:t>
            </w:r>
          </w:p>
        </w:tc>
        <w:tc>
          <w:tcPr>
            <w:tcW w:type="dxa" w:w="2880"/>
          </w:tcPr>
          <w:p>
            <w:r>
              <w:t>Angela Mahoney</w:t>
            </w:r>
          </w:p>
        </w:tc>
        <w:tc>
          <w:tcPr>
            <w:tcW w:type="dxa" w:w="2880"/>
          </w:tcPr>
          <w:p>
            <w:r>
              <w:t>Within two weeks</w:t>
            </w:r>
          </w:p>
        </w:tc>
      </w:tr>
      <w:tr>
        <w:tc>
          <w:tcPr>
            <w:tcW w:type="dxa" w:w="2880"/>
          </w:tcPr>
          <w:p>
            <w:r>
              <w:t>Draft the recommendations section, each tied to the findings it rests on</w:t>
            </w:r>
          </w:p>
        </w:tc>
        <w:tc>
          <w:tcPr>
            <w:tcW w:type="dxa" w:w="2880"/>
          </w:tcPr>
          <w:p>
            <w:r>
              <w:t>Susan Clark</w:t>
            </w:r>
          </w:p>
        </w:tc>
        <w:tc>
          <w:tcPr>
            <w:tcW w:type="dxa" w:w="2880"/>
          </w:tcPr>
          <w:p>
            <w:r>
              <w:t>Before the next working session</w:t>
            </w:r>
          </w:p>
        </w:tc>
      </w:tr>
      <w:tr>
        <w:tc>
          <w:tcPr>
            <w:tcW w:type="dxa" w:w="2880"/>
          </w:tcPr>
          <w:p>
            <w:r>
              <w:t>Finalize the revenue cycle section, including the denial sequence and named failure point</w:t>
            </w:r>
          </w:p>
        </w:tc>
        <w:tc>
          <w:tcPr>
            <w:tcW w:type="dxa" w:w="2880"/>
          </w:tcPr>
          <w:p>
            <w:r>
              <w:t>Patricia Moore</w:t>
            </w:r>
          </w:p>
        </w:tc>
        <w:tc>
          <w:tcPr>
            <w:tcW w:type="dxa" w:w="2880"/>
          </w:tcPr>
          <w:p>
            <w:r>
              <w:t>Within two weeks</w:t>
            </w:r>
          </w:p>
        </w:tc>
      </w:tr>
      <w:tr>
        <w:tc>
          <w:tcPr>
            <w:tcW w:type="dxa" w:w="2880"/>
          </w:tcPr>
          <w:p>
            <w:r>
              <w:t>Hold the dependency wording as drafted through internal review</w:t>
            </w:r>
          </w:p>
        </w:tc>
        <w:tc>
          <w:tcPr>
            <w:tcW w:type="dxa" w:w="2880"/>
          </w:tcPr>
          <w:p>
            <w:r>
              <w:t>Daniel Alvarado</w:t>
            </w:r>
          </w:p>
        </w:tc>
        <w:tc>
          <w:tcPr>
            <w:tcW w:type="dxa" w:w="2880"/>
          </w:tcPr>
          <w:p>
            <w:r>
              <w:t>Ongoing</w:t>
            </w:r>
          </w:p>
        </w:tc>
      </w:tr>
      <w:tr>
        <w:tc>
          <w:tcPr>
            <w:tcW w:type="dxa" w:w="2880"/>
          </w:tcPr>
          <w:p>
            <w:r>
              <w:t>Confirm the distribution list for the final report, including whether counsel is on it</w:t>
            </w:r>
          </w:p>
        </w:tc>
        <w:tc>
          <w:tcPr>
            <w:tcW w:type="dxa" w:w="2880"/>
          </w:tcPr>
          <w:p>
            <w:r>
              <w:t>Angela Mahoney</w:t>
            </w:r>
          </w:p>
        </w:tc>
        <w:tc>
          <w:tcPr>
            <w:tcW w:type="dxa" w:w="2880"/>
          </w:tcPr>
          <w:p>
            <w:r>
              <w:t>Before the next working session</w:t>
            </w:r>
          </w:p>
        </w:tc>
      </w:tr>
      <w:tr>
        <w:tc>
          <w:tcPr>
            <w:tcW w:type="dxa" w:w="2880"/>
          </w:tcPr>
          <w:p>
            <w:r>
              <w:t>Assemble the workpaper index to accompany the final report</w:t>
            </w:r>
          </w:p>
        </w:tc>
        <w:tc>
          <w:tcPr>
            <w:tcW w:type="dxa" w:w="2880"/>
          </w:tcPr>
          <w:p>
            <w:r>
              <w:t>Patricia Moore</w:t>
            </w:r>
          </w:p>
        </w:tc>
        <w:tc>
          <w:tcPr>
            <w:tcW w:type="dxa" w:w="2880"/>
          </w:tcPr>
          <w:p>
            <w:r>
              <w:t>Before the next working session</w:t>
            </w:r>
          </w:p>
        </w:tc>
      </w:tr>
    </w:tbl>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Verdant Health Advisory LLC</w:t>
    </w:r>
  </w:p>
  <w:p>
    <w:r>
      <w:rPr>
        <w:sz w:val="18"/>
      </w:rPr>
      <w:t>www.verdanthealthadvisory.com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Verdant Health Advisory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Service Line Assessment for Johnson, Cross and Gibbs</dc:title>
  <dc:subject/>
  <dc:creator>Susan Clark</dc:creator>
  <cp:keywords/>
  <dc:description>generated by python-docx</dc:description>
  <cp:lastModifiedBy>Susan Clark</cp:lastModifiedBy>
  <cp:revision>1</cp:revision>
  <dcterms:created xsi:type="dcterms:W3CDTF">2021-01-21T09:00:00Z</dcterms:created>
  <dcterms:modified xsi:type="dcterms:W3CDTF">2021-01-21T09:00:00Z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