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Status report on the Ambulatory Network Study for Lopez, Mcbride and Evans. Prepared by Barbara Freeman, Analyst, and reviewed before issue.</w:t>
      </w:r>
    </w:p>
    <w:p>
      <w:pPr>
        <w:pStyle w:val="Heading2"/>
      </w:pPr>
      <w:r>
        <w:t>Summary</w:t>
      </w:r>
    </w:p>
    <w:p>
      <w:r>
        <w:t>The engagement is at its midpoint and substantially on plan. Three of the four workstreams are where we expected them to be. The exception is the restated contribution basis, which is complete for most of the network and open at one site, for a reason we understand and can correct. Nothing found to date changes our view that the study will answer the questions Lopez, Mcbride and Evans asked. Equally, nothing found to date supports a conclusion we would be willing to state in a report, and this document should not be read as previewing one.</w:t>
      </w:r>
    </w:p>
    <w:p>
      <w:pPr>
        <w:pStyle w:val="Heading2"/>
      </w:pPr>
      <w:r>
        <w:t>Accomplishments This Period</w:t>
      </w:r>
    </w:p>
    <w:p>
      <w:r>
        <w:t>Definitional basis. Joshua Dougherty has completed the restatement of ambulatory volume, revenue, and directly attributable cost onto a single basis at four of the network's five sites. That is the load-bearing piece of the study. Without it, comparing service line contribution across sites compares quantities that are not the same quantity. The fifth site remains open because its scheduling and billing systems disagree on how a bilateral procedure is counted, one case against two. The disagreement is now precisely characterized, which was most of the work; the correction itself is not difficult.</w:t>
      </w:r>
    </w:p>
    <w:p>
      <w:r>
        <w:t>Case placement. The placement analysis is drafted across the network. It shows a consistent pattern in where procedures are performed, and the pattern is stable enough across the period examined that we do not expect it to move. I want to be careful about what that means. We can show the pattern. We cannot yet show why it exists, because the referral source field is unpopulated in a material share of records at two sites. Any explanation we offered today would be an inference, and it would be sitting in the place where a finding belongs. We have scoped the work required to close the gap; whether to do it is a decision for you, not for us.</w:t>
      </w:r>
    </w:p>
    <w:p>
      <w:r>
        <w:t>Capacity and utilization. Block allocation and turnover data are in hand for all sites, and the utilization model is built and reconciling. Joshua Dougherty has it reproducing from raw inputs end to end, which is his standing condition for releasing a figure. Scheduled and realized utilization diverge at two sites by a margin worth explaining. Whether that is a real capacity finding or an artifact of how those sites record cancellations is exactly the kind of question we would rather answer before the interim read than assert during it.</w:t>
      </w:r>
    </w:p>
    <w:p>
      <w:r>
        <w:t>Arrangement review. Daniel Alvarado has received and inventoried the arrangement documents. A subset arrived as scanned images with no text layer and is being reviewed by hand. That is slower than the alternative but it is not blocked, and it is on schedule as re-planned. He has been clear with us that the fair market value assessment will cover the arrangements the documentation reaches and no others, and that the assessment will name the exceptions rather than leave them to be noticed.</w:t>
      </w:r>
    </w:p>
    <w:p>
      <w:pPr>
        <w:pStyle w:val="Heading2"/>
      </w:pPr>
      <w:r>
        <w:t>Upcoming Work</w:t>
      </w:r>
    </w:p>
    <w:p>
      <w:r>
        <w:t>In the next period we will close the fifth site's case definition and publish the network-level contribution restatement; deliver the interim read in person, findings first with recommendations separated and labeled; complete the manual review of the scanned arrangements; and, if you elect it, begin the referral source reconstruction. The fair market value assessment will state explicitly which arrangements it covers and which ones the documentation does not support an opinion on. Daniel Alvarado will not extend it past what the record carries, and we would not ask him to.</w:t>
      </w:r>
    </w:p>
    <w:p>
      <w:pPr>
        <w:pStyle w:val="Heading2"/>
      </w:pPr>
      <w:r>
        <w:t>Budget</w:t>
      </w:r>
    </w:p>
    <w:p>
      <w:r>
        <w:t>The engagement fee is $54,500, fixed for the scope set out in the engagement letter. Hours consumed to date are close to proportional to elapsed time, and we are not forecasting an overrun on the agreed scope. Two items would fall outside it: reconstructing the referral source field from scheduling notes, and any expansion of the arrangement review beyond the population inventoried. Neither has been performed, and neither will be without a written scope change with the fee effect stated in advance.</w:t>
      </w:r>
    </w:p>
    <w:p>
      <w:pPr>
        <w:pStyle w:val="Heading2"/>
      </w:pPr>
      <w:r>
        <w:t>Risks</w:t>
      </w:r>
    </w:p>
    <w:p>
      <w:pPr>
        <w:pStyle w:val="ListBullet"/>
      </w:pPr>
      <w:r>
        <w:t>Fifth site case definition. Until scheduling and billing agree, the network-level contribution figure cannot be reproduced from source and will not be published. Mitigation is underway. The risk is to timing rather than to validity, and we would rather issue the figure late than issue one we cannot reproduce.</w:t>
      </w:r>
    </w:p>
    <w:p>
      <w:pPr>
        <w:pStyle w:val="ListBullet"/>
      </w:pPr>
      <w:r>
        <w:t>Referral source completeness. If the field is not reconstructed, the final report will describe the placement pattern and will not attribute a cause to it. That is a real limitation on the study's usefulness, and it is better decided with the limitation in view than discovered at delivery.</w:t>
      </w:r>
    </w:p>
    <w:p>
      <w:pPr>
        <w:pStyle w:val="ListBullet"/>
      </w:pPr>
      <w:r>
        <w:t>Scanned arrangement documents. The manual review is proceeding on schedule. The residual risk is that an arrangement for which no executed original can be located cannot be opined on, in which case the assessment will say so and name it.</w:t>
      </w:r>
    </w:p>
    <w:p>
      <w:pPr>
        <w:pStyle w:val="ListBullet"/>
      </w:pPr>
      <w:r>
        <w:t>Data latency. Two of our four extract requests this period returned later than agreed. No slippage has resulted. If the pattern holds through the next period it will consume float we would rather keep.</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Ambulatory Network Study for Lopez, Mcbride and Evans</dc:title>
  <dc:subject/>
  <dc:creator>Barbara Freeman</dc:creator>
  <cp:keywords/>
  <dc:description>generated by python-docx</dc:description>
  <cp:lastModifiedBy>Barbara Freeman</cp:lastModifiedBy>
  <cp:revision>1</cp:revision>
  <dcterms:created xsi:type="dcterms:W3CDTF">2023-05-26T09:00:00Z</dcterms:created>
  <dcterms:modified xsi:type="dcterms:W3CDTF">2023-05-26T09:00:00Z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