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Minutes of a working session on the Ambulatory Network Study for Lopez, Mcbride and Evans. Recorded by Daniel Alvarado. These minutes record what was discussed and what was decided. They are not a transcript, and where a matter was left open they say so.</w:t>
      </w:r>
    </w:p>
    <w:p>
      <w:pPr>
        <w:pStyle w:val="Heading2"/>
      </w:pPr>
      <w:r>
        <w:t>Attendees</w:t>
      </w:r>
    </w:p>
    <w:p>
      <w:pPr>
        <w:pStyle w:val="ListBullet"/>
      </w:pPr>
      <w:r>
        <w:t>Daniel Alvarado, Principal, Verdant Health Advisory</w:t>
      </w:r>
    </w:p>
    <w:p>
      <w:pPr>
        <w:pStyle w:val="ListBullet"/>
      </w:pPr>
      <w:r>
        <w:t>Barbara Freeman, Analyst, Verdant Health Advisory</w:t>
      </w:r>
    </w:p>
    <w:p>
      <w:pPr>
        <w:pStyle w:val="ListBullet"/>
      </w:pPr>
      <w:r>
        <w:t>Joshua Dougherty, Analyst, Verdant Health Advisory</w:t>
      </w:r>
    </w:p>
    <w:p>
      <w:pPr>
        <w:pStyle w:val="ListBullet"/>
      </w:pPr>
      <w:r>
        <w:t>Angela Mahoney, General Manager, Lopez, Mcbride and Evans</w:t>
      </w:r>
    </w:p>
    <w:p>
      <w:pPr>
        <w:pStyle w:val="Heading2"/>
      </w:pPr>
      <w:r>
        <w:t>Discussion</w:t>
      </w:r>
    </w:p>
    <w:p>
      <w:r>
        <w:t>Restated basis. Joshua Dougherty reported that the restatement of ambulatory volume onto a single definitional basis is complete at four of the network's sites and open at the fifth, where the scheduling system records a bilateral procedure as one case and the billing system records it as two. He declined to publish a network-level contribution figure until that is resolved, on the ground that he cannot at present reproduce the fifth site's case count from raw inputs. No one argued with him.</w:t>
      </w:r>
    </w:p>
    <w:p>
      <w:r>
        <w:t>Case placement. Barbara Freeman presented the preliminary placement analysis and was careful to separate what the data shows from what it suggests. The pattern is visible. The explanation is not yet supported: the referral source field is unpopulated in a material share of records at two sites, and attributing placement to referral behavior today would be an inference standing where a finding ought to stand. Angela Mahoney asked whether the field could be reconstructed from the scheduling notes. Barbara Freeman said possibly, at a cost in hours she would rather quantify than guess at, and Angela Mahoney asked for the estimate before deciding.</w:t>
      </w:r>
    </w:p>
    <w:p>
      <w:r>
        <w:t>Arrangement review. I reported that the arrangement documents received to date are sufficient to describe the population but not, in every case, to opine on it. Several executed statements of work reached us as scanned images with no text layer, which makes them legible to a reader and inert to a search. Angela Mahoney confirmed that the contracting office prints, signs, and scans as a matter of routine, and that no electronic originals exist for those documents. We agreed that the review proceeds by hand where that is so, and that the assessment will state which arrangements it covers and which it does not. I restated, as I did at the outset, that where documentation does not support an opinion we report the gap rather than close it.</w:t>
      </w:r>
    </w:p>
    <w:p>
      <w:r>
        <w:t>Utilization. Joshua Dougherty noted that block allocation data are complete for every site, and that scheduled and realized utilization diverge at two of them by a margin large enough to be worth explaining. He was asked whether the divergence is a scheduling artifact or a real capacity finding. He said he does not know yet and that the distinction turns on how the sites record a cancellation, which he is checking against raw inputs before he will characterize it either way.</w:t>
      </w:r>
    </w:p>
    <w:p>
      <w:r>
        <w:t>Timeline. Angela Mahoney asked whether the interim read remains on plan. It does. She asked separately whether the fifth site's case count threatens the final report. My answer was that it threatens the network-level contribution figure specifically, and that we would rather deliver that figure late and reproducible than on time and unsupported. She asked what she should tell her Board in the meantime. We agreed she should tell them the work is on plan and that no findings are available to report, which is accurate on both counts.</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Target</w:t>
            </w:r>
          </w:p>
        </w:tc>
      </w:tr>
      <w:tr>
        <w:tc>
          <w:tcPr>
            <w:tcW w:type="dxa" w:w="2880"/>
          </w:tcPr>
          <w:p>
            <w:r>
              <w:t>Reconcile the fifth site's case definition between the scheduling and billing systems</w:t>
            </w:r>
          </w:p>
        </w:tc>
        <w:tc>
          <w:tcPr>
            <w:tcW w:type="dxa" w:w="2880"/>
          </w:tcPr>
          <w:p>
            <w:r>
              <w:t>Joshua Dougherty</w:t>
            </w:r>
          </w:p>
        </w:tc>
        <w:tc>
          <w:tcPr>
            <w:tcW w:type="dxa" w:w="2880"/>
          </w:tcPr>
          <w:p>
            <w:r>
              <w:t>Before the next working session</w:t>
            </w:r>
          </w:p>
        </w:tc>
      </w:tr>
      <w:tr>
        <w:tc>
          <w:tcPr>
            <w:tcW w:type="dxa" w:w="2880"/>
          </w:tcPr>
          <w:p>
            <w:r>
              <w:t>Estimate the hours to reconstruct the referral source field from scheduling notes</w:t>
            </w:r>
          </w:p>
        </w:tc>
        <w:tc>
          <w:tcPr>
            <w:tcW w:type="dxa" w:w="2880"/>
          </w:tcPr>
          <w:p>
            <w:r>
              <w:t>Barbara Freeman</w:t>
            </w:r>
          </w:p>
        </w:tc>
        <w:tc>
          <w:tcPr>
            <w:tcW w:type="dxa" w:w="2880"/>
          </w:tcPr>
          <w:p>
            <w:r>
              <w:t>One week</w:t>
            </w:r>
          </w:p>
        </w:tc>
      </w:tr>
      <w:tr>
        <w:tc>
          <w:tcPr>
            <w:tcW w:type="dxa" w:w="2880"/>
          </w:tcPr>
          <w:p>
            <w:r>
              <w:t>Decide whether to authorize the referral source reconstruction as a scope change</w:t>
            </w:r>
          </w:p>
        </w:tc>
        <w:tc>
          <w:tcPr>
            <w:tcW w:type="dxa" w:w="2880"/>
          </w:tcPr>
          <w:p>
            <w:r>
              <w:t>Angela Mahoney</w:t>
            </w:r>
          </w:p>
        </w:tc>
        <w:tc>
          <w:tcPr>
            <w:tcW w:type="dxa" w:w="2880"/>
          </w:tcPr>
          <w:p>
            <w:r>
              <w:t>On receipt of the estimate</w:t>
            </w:r>
          </w:p>
        </w:tc>
      </w:tr>
      <w:tr>
        <w:tc>
          <w:tcPr>
            <w:tcW w:type="dxa" w:w="2880"/>
          </w:tcPr>
          <w:p>
            <w:r>
              <w:t>Provide the site contact for the scheduling system export</w:t>
            </w:r>
          </w:p>
        </w:tc>
        <w:tc>
          <w:tcPr>
            <w:tcW w:type="dxa" w:w="2880"/>
          </w:tcPr>
          <w:p>
            <w:r>
              <w:t>Angela Mahoney</w:t>
            </w:r>
          </w:p>
        </w:tc>
        <w:tc>
          <w:tcPr>
            <w:tcW w:type="dxa" w:w="2880"/>
          </w:tcPr>
          <w:p>
            <w:r>
              <w:t>One week</w:t>
            </w:r>
          </w:p>
        </w:tc>
      </w:tr>
      <w:tr>
        <w:tc>
          <w:tcPr>
            <w:tcW w:type="dxa" w:w="2880"/>
          </w:tcPr>
          <w:p>
            <w:r>
              <w:t>Complete the manual review of the scanned arrangement documents</w:t>
            </w:r>
          </w:p>
        </w:tc>
        <w:tc>
          <w:tcPr>
            <w:tcW w:type="dxa" w:w="2880"/>
          </w:tcPr>
          <w:p>
            <w:r>
              <w:t>Daniel Alvarado</w:t>
            </w:r>
          </w:p>
        </w:tc>
        <w:tc>
          <w:tcPr>
            <w:tcW w:type="dxa" w:w="2880"/>
          </w:tcPr>
          <w:p>
            <w:r>
              <w:t>Before the interim read</w:t>
            </w:r>
          </w:p>
        </w:tc>
      </w:tr>
      <w:tr>
        <w:tc>
          <w:tcPr>
            <w:tcW w:type="dxa" w:w="2880"/>
          </w:tcPr>
          <w:p>
            <w:r>
              <w:t>Circulate the interim read structure for internal review</w:t>
            </w:r>
          </w:p>
        </w:tc>
        <w:tc>
          <w:tcPr>
            <w:tcW w:type="dxa" w:w="2880"/>
          </w:tcPr>
          <w:p>
            <w:r>
              <w:t>Barbara Freeman</w:t>
            </w:r>
          </w:p>
        </w:tc>
        <w:tc>
          <w:tcPr>
            <w:tcW w:type="dxa" w:w="2880"/>
          </w:tcPr>
          <w:p>
            <w:r>
              <w:t>Next working session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Ambulatory Network Study for Lopez, Mcbride and Evans</dc:title>
  <dc:subject/>
  <dc:creator>Daniel Alvarado</dc:creator>
  <cp:keywords/>
  <dc:description>generated by python-docx</dc:description>
  <cp:lastModifiedBy>Daniel Alvarado</cp:lastModifiedBy>
  <cp:revision>1</cp:revision>
  <dcterms:created xsi:type="dcterms:W3CDTF">2023-05-06T09:00:00Z</dcterms:created>
  <dcterms:modified xsi:type="dcterms:W3CDTF">2023-05-06T09:00:00Z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