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Minutes of a working session on the Ambulatory Network Study for Lopez, Mcbride and Evans. Recorded by Daniel Alvarado. As before, these are a record of discussion and decision rather than a transcript, and open matters are identified as open.</w:t>
      </w:r>
    </w:p>
    <w:p>
      <w:pPr>
        <w:pStyle w:val="Heading2"/>
      </w:pPr>
      <w:r>
        <w:t>Attendees</w:t>
      </w:r>
    </w:p>
    <w:p>
      <w:pPr>
        <w:pStyle w:val="ListBullet"/>
      </w:pPr>
      <w:r>
        <w:t>Daniel Alvarado, Principal, Verdant Health Advisory</w:t>
      </w:r>
    </w:p>
    <w:p>
      <w:pPr>
        <w:pStyle w:val="ListBullet"/>
      </w:pPr>
      <w:r>
        <w:t>Barbara Freeman, Analyst, Verdant Health Advisory</w:t>
      </w:r>
    </w:p>
    <w:p>
      <w:pPr>
        <w:pStyle w:val="ListBullet"/>
      </w:pPr>
      <w:r>
        <w:t>Joshua Dougherty, Analyst, Verdant Health Advisory</w:t>
      </w:r>
    </w:p>
    <w:p>
      <w:pPr>
        <w:pStyle w:val="ListBullet"/>
      </w:pPr>
      <w:r>
        <w:t>Angela Mahoney, General Manager, Lopez, Mcbride and Evans</w:t>
      </w:r>
    </w:p>
    <w:p>
      <w:pPr>
        <w:pStyle w:val="Heading2"/>
      </w:pPr>
      <w:r>
        <w:t>Discussion</w:t>
      </w:r>
    </w:p>
    <w:p>
      <w:r>
        <w:t>Draft report. Barbara Freeman circulated the full draft ahead of the session and walked the structure: findings first, then a separate section of recommendations, labeled as such. Angela Mahoney raised the question we expected, which is whether the recommendations could move forward in the document for her Board's convenience. The answer was no, and the reason is not formatting. A recommendation printed among findings is quoted later as a finding. Angela Mahoney accepted the reasoning and asked instead for a one-page summary that preserves the separation. Barbara Freeman will draft it.</w:t>
      </w:r>
    </w:p>
    <w:p>
      <w:r>
        <w:t>Contribution restatement. Joshua Dougherty confirmed that the fifth site's case definition is reconciled and that the network-level contribution figures now reproduce from raw inputs at every site. He walked the exhibit rather than narrating it, which was the efficient choice. Angela Mahoney asked whether the ranking of service lines by contribution is sensitive to the cost allocation method. Joshua Dougherty said the top and the bottom of the ranking are not, the middle is, and that he has put the sensitivity in the appendix rather than the body so that it does not read as a hedge on the findings that hold.</w:t>
      </w:r>
    </w:p>
    <w:p>
      <w:r>
        <w:t>Fair market value assessment. I reported that the assessment is complete for the arrangements the documentation supports and identifies by name the two that it does not reach, in both cases because no executed original could be located and the scanned copy in the file is unsigned. Angela Mahoney asked whether we could rely on the contracting office's confirmation that those two were executed. My answer was that we can report the confirmation as a representation of management, attributed to management, and that we cannot convert it into an opinion of ours. She did not press the point. Counsel will see the section before the Board does, which is the right sequence.</w:t>
      </w:r>
    </w:p>
    <w:p>
      <w:r>
        <w:t>Utilization. Joshua Dougherty closed out the divergence between scheduled and realized utilization at the two sites that showed it. The larger share is an artifact of how those sites record cancellations and the remainder is a real finding, and the exhibit now separates the two rather than reporting a single number that would have been half explanation and half accident.</w:t>
      </w:r>
    </w:p>
    <w:p>
      <w:r>
        <w:t>Remaining work and limitations. Barbara Freeman noted that the placement analysis will be delivered with its limitation stated plainly: the referral source field was not reconstructed, so the report describes the pattern and does not attribute a cause to it. Angela Mahoney confirmed that this was her decision, taken on our estimate, and asked that the minutes reflect it. They do. She asked whether the limitation could be confined to the appendix. It cannot, and it will appear with the finding it qualifies.</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Target</w:t>
            </w:r>
          </w:p>
        </w:tc>
      </w:tr>
      <w:tr>
        <w:tc>
          <w:tcPr>
            <w:tcW w:type="dxa" w:w="2880"/>
          </w:tcPr>
          <w:p>
            <w:r>
              <w:t>Draft the one-page summary preserving the findings and recommendations separation</w:t>
            </w:r>
          </w:p>
        </w:tc>
        <w:tc>
          <w:tcPr>
            <w:tcW w:type="dxa" w:w="2880"/>
          </w:tcPr>
          <w:p>
            <w:r>
              <w:t>Barbara Freeman</w:t>
            </w:r>
          </w:p>
        </w:tc>
        <w:tc>
          <w:tcPr>
            <w:tcW w:type="dxa" w:w="2880"/>
          </w:tcPr>
          <w:p>
            <w:r>
              <w:t>This week</w:t>
            </w:r>
          </w:p>
        </w:tc>
      </w:tr>
      <w:tr>
        <w:tc>
          <w:tcPr>
            <w:tcW w:type="dxa" w:w="2880"/>
          </w:tcPr>
          <w:p>
            <w:r>
              <w:t>Move the cost allocation sensitivity to the appendix and cross-reference it from the findings</w:t>
            </w:r>
          </w:p>
        </w:tc>
        <w:tc>
          <w:tcPr>
            <w:tcW w:type="dxa" w:w="2880"/>
          </w:tcPr>
          <w:p>
            <w:r>
              <w:t>Joshua Dougherty</w:t>
            </w:r>
          </w:p>
        </w:tc>
        <w:tc>
          <w:tcPr>
            <w:tcW w:type="dxa" w:w="2880"/>
          </w:tcPr>
          <w:p>
            <w:r>
              <w:t>This week</w:t>
            </w:r>
          </w:p>
        </w:tc>
      </w:tr>
      <w:tr>
        <w:tc>
          <w:tcPr>
            <w:tcW w:type="dxa" w:w="2880"/>
          </w:tcPr>
          <w:p>
            <w:r>
              <w:t>Provide a management representation covering the two unlocated executed originals</w:t>
            </w:r>
          </w:p>
        </w:tc>
        <w:tc>
          <w:tcPr>
            <w:tcW w:type="dxa" w:w="2880"/>
          </w:tcPr>
          <w:p>
            <w:r>
              <w:t>Angela Mahoney</w:t>
            </w:r>
          </w:p>
        </w:tc>
        <w:tc>
          <w:tcPr>
            <w:tcW w:type="dxa" w:w="2880"/>
          </w:tcPr>
          <w:p>
            <w:r>
              <w:t>Before report issue</w:t>
            </w:r>
          </w:p>
        </w:tc>
      </w:tr>
      <w:tr>
        <w:tc>
          <w:tcPr>
            <w:tcW w:type="dxa" w:w="2880"/>
          </w:tcPr>
          <w:p>
            <w:r>
              <w:t>Route the fair market value section to client counsel</w:t>
            </w:r>
          </w:p>
        </w:tc>
        <w:tc>
          <w:tcPr>
            <w:tcW w:type="dxa" w:w="2880"/>
          </w:tcPr>
          <w:p>
            <w:r>
              <w:t>Angela Mahoney</w:t>
            </w:r>
          </w:p>
        </w:tc>
        <w:tc>
          <w:tcPr>
            <w:tcW w:type="dxa" w:w="2880"/>
          </w:tcPr>
          <w:p>
            <w:r>
              <w:t>Before Board distribution</w:t>
            </w:r>
          </w:p>
        </w:tc>
      </w:tr>
      <w:tr>
        <w:tc>
          <w:tcPr>
            <w:tcW w:type="dxa" w:w="2880"/>
          </w:tcPr>
          <w:p>
            <w:r>
              <w:t>Complete principal review of the full draft and route it for firm review</w:t>
            </w:r>
          </w:p>
        </w:tc>
        <w:tc>
          <w:tcPr>
            <w:tcW w:type="dxa" w:w="2880"/>
          </w:tcPr>
          <w:p>
            <w:r>
              <w:t>Daniel Alvarado</w:t>
            </w:r>
          </w:p>
        </w:tc>
        <w:tc>
          <w:tcPr>
            <w:tcW w:type="dxa" w:w="2880"/>
          </w:tcPr>
          <w:p>
            <w:r>
              <w:t>Before report issue</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Verdant Health Advisory LLC</w:t>
    </w:r>
  </w:p>
  <w:p>
    <w:r>
      <w:rPr>
        <w:sz w:val="18"/>
      </w:rPr>
      <w:t>www.verdanthealthadvisory.com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Verdant Health Advisory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Ambulatory Network Study for Lopez, Mcbride and Evans</dc:title>
  <dc:subject/>
  <dc:creator>Daniel Alvarado</dc:creator>
  <cp:keywords/>
  <dc:description>generated by python-docx</dc:description>
  <cp:lastModifiedBy>Daniel Alvarado</cp:lastModifiedBy>
  <cp:revision>1</cp:revision>
  <dcterms:created xsi:type="dcterms:W3CDTF">2023-08-04T09:00:00Z</dcterms:created>
  <dcterms:modified xsi:type="dcterms:W3CDTF">2023-08-04T09:00:00Z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