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Revenue Cycle Diagnostic</w:t>
      </w:r>
    </w:p>
    <w:p>
      <w:pPr>
        <w:pStyle w:val="Heading2"/>
      </w:pPr>
      <w:r>
        <w:t>Status Summary</w:t>
      </w:r>
    </w:p>
    <w:p>
      <w:r>
        <w:t>Prepared for the leadership group at Sullivan, Hall and Kelly. The engagement is at roughly its midpoint and is on schedule. The baseline is fixed and reconciled, the denial analysis is complete through traceback, and the follow-up and cash application workstreams are underway. One dependency is late and is the only item that could move the closing date. Fees to date are in line with the fixed fee of $53,000 and we do not anticipate a change in scope.</w:t>
      </w:r>
    </w:p>
    <w:p>
      <w:r>
        <w:t>The headline is that the initial hypothesis was partly right and partly misdirected. Denials are large. They are not primarily a denials-department problem. That distinction is worth absorbing now, because it determines where Sullivan, Hall and Kelly would have to spend to fix it, and the answer is not where the current reporting points.</w:t>
      </w:r>
    </w:p>
    <w:p>
      <w:pPr>
        <w:pStyle w:val="Heading2"/>
      </w:pPr>
      <w:r>
        <w:t>Accomplishments This Period</w:t>
      </w:r>
    </w:p>
    <w:p>
      <w:r>
        <w:t>The baseline is closed. Transaction detail for the trailing period reconciles to the general ledger within tolerance, with two variances documented and one population excluded and disclosed. Every figure in this report and in the deliverables to follow ties to that baseline. If it moves, we will tell you it moved and why.</w:t>
      </w:r>
    </w:p>
    <w:p>
      <w:r>
        <w:t>The denial analysis is complete. Recategorizing denials by dollars rather than by count reorders the picture against your existing reporting: two categories that are minor by volume carry a disproportionate share of the dollars, and the categories your reports surface most prominently are not the expensive ones. The traceback sampling is finished and supports a statement we were not willing to make three weeks ago. A substantial share of denied dollars originates at the front end, in eligibility verification and authorization capture, and surfaces later as a denial. The denial is where the error is discovered, not where it is made.</w:t>
      </w:r>
    </w:p>
    <w:p>
      <w:r>
        <w:t>The charge capture comparison is complete for all but one department, the one awaiting the vendor extract. Where we found gaps, we have quantified them. In two areas the pattern suggests a documentation practice question. We have noted those and gone no further, consistent with the scope: this engagement is not a coding audit and we will not present one.</w:t>
      </w:r>
    </w:p>
    <w:p>
      <w:pPr>
        <w:pStyle w:val="Heading2"/>
      </w:pPr>
      <w:r>
        <w:t>Upcoming Work</w:t>
      </w:r>
    </w:p>
    <w:p>
      <w:r>
        <w:t>The next period covers follow-up and cash application. We will measure posting lag and unapplied cash, and compare what the follow-up staff actually work against what the worklist assigns them. That comparison is the single most useful thing left to do, because the value of an account inventory depends entirely on whether anyone is touching the accounts that matter, and no report you currently have answers that.</w:t>
      </w:r>
    </w:p>
    <w:p>
      <w:r>
        <w:t>We will also begin sizing the opportunity set. Each identified item gets an estimated recoverable value and a difficulty rating, and both get stated assumptions in the body rather than in an appendix. Where the data does not support a defensible estimate, the item will be described qualitatively and marked as unsized. We would rather hand you a smaller number that holds than a larger one that does not survive the first question from your finance office.</w:t>
      </w:r>
    </w:p>
    <w:p>
      <w:r>
        <w:t>Daniel Alvarado has prepared the scope note on the physician arrangement question raised at the last working session. To restate the position: our diagnostic addresses how that arrangement affects billing mechanics and cash, and does not address whether its terms are supportable. That is a separate question with a separate methodology, and we are not answering it inside this engagement, in this report, or in a meeting. If your counsel wants it answered, we can scope it, and it will be scoped in writing before any work begins.</w:t>
      </w:r>
    </w:p>
    <w:p>
      <w:pPr>
        <w:pStyle w:val="Heading2"/>
      </w:pPr>
      <w:r>
        <w:t>Risks</w:t>
      </w:r>
    </w:p>
    <w:p>
      <w:pPr>
        <w:pStyle w:val="ListBullet"/>
      </w:pPr>
      <w:r>
        <w:t>The vendor authorization extract remains outstanding and has been escalated on your side for several weeks. It gates the charge capture work for one department and part of the front-end quantification. If it does not arrive within the next three weeks, the affected findings will be presented as partial and clearly labeled as such, and we will not extrapolate across the gap.</w:t>
      </w:r>
    </w:p>
    <w:p>
      <w:pPr>
        <w:pStyle w:val="ListBullet"/>
      </w:pPr>
      <w:r>
        <w:t>The worklist assignment report has been built and delivered. That risk is closed.</w:t>
      </w:r>
    </w:p>
    <w:p>
      <w:pPr>
        <w:pStyle w:val="ListBullet"/>
      </w:pPr>
      <w:r>
        <w:t>Staff availability in patient access has been thinner than planned, which has slowed the observation work rather than stopped it. No schedule impact so far.</w:t>
      </w:r>
    </w:p>
    <w:p>
      <w:pPr>
        <w:pStyle w:val="ListBullet"/>
      </w:pPr>
      <w:r>
        <w:t>The findings will not match the internal narrative about where the problem lives. Susan Clark and Daniel Alvarado will walk the analysis in full before the closing presentation, so that anyone inclined to dispute the conclusion can examine the method first. We would rather have that argument over the data than over the summary.</w:t>
      </w:r>
    </w:p>
    <w:p>
      <w:pPr>
        <w:pStyle w:val="Heading2"/>
      </w:pPr>
      <w:r>
        <w:t>Budget</w:t>
      </w:r>
    </w:p>
    <w:p>
      <w:r>
        <w:t>Effort through this period is consistent with the fixed fee of $53,000 and with the proportion of the work completed. No change order is contemplated. Should the vendor extract arrive late enough to require rework rather than simple sequencing, we will raise it in writing before performing the work, not after.</w:t>
      </w:r>
    </w:p>
    <w:p>
      <w:r>
        <w:t>Prepared by Susan Clark,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Revenue Cycle Diagnostic for Sullivan, Hall and Kelly</dc:title>
  <dc:subject/>
  <dc:creator>Susan Clark</dc:creator>
  <cp:keywords/>
  <dc:description>generated by python-docx</dc:description>
  <cp:lastModifiedBy>Susan Clark</cp:lastModifiedBy>
  <cp:revision>1</cp:revision>
  <dcterms:created xsi:type="dcterms:W3CDTF">2024-06-07T09:00:00Z</dcterms:created>
  <dcterms:modified xsi:type="dcterms:W3CDTF">2024-06-07T09:00:00Z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