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Revenue Cycle Diagnostic Working Session</w:t>
      </w:r>
    </w:p>
    <w:p>
      <w:pPr>
        <w:pStyle w:val="Heading2"/>
      </w:pPr>
      <w:r>
        <w:t>Attendees</w:t>
      </w:r>
    </w:p>
    <w:p>
      <w:pPr>
        <w:pStyle w:val="ListBullet"/>
      </w:pPr>
      <w:r>
        <w:t>Susan Clark, Principal, Verdant Health Advisory</w:t>
      </w:r>
    </w:p>
    <w:p>
      <w:pPr>
        <w:pStyle w:val="ListBullet"/>
      </w:pPr>
      <w:r>
        <w:t>Daniel Alvarado, Principal, Verdant Health Advisory</w:t>
      </w:r>
    </w:p>
    <w:p>
      <w:pPr>
        <w:pStyle w:val="ListBullet"/>
      </w:pPr>
      <w:r>
        <w:t>Megan Wells, Director of Operations, Sullivan, Hall and Kelly</w:t>
      </w:r>
    </w:p>
    <w:p>
      <w:r>
        <w:t>Minutes prepared by Daniel Alvarado. Purpose of the session was to review the reconciled baseline and the first pass of the denial analysis, and to resolve two open data items.</w:t>
      </w:r>
    </w:p>
    <w:p>
      <w:pPr>
        <w:pStyle w:val="Heading2"/>
      </w:pPr>
      <w:r>
        <w:t>Baseline</w:t>
      </w:r>
    </w:p>
    <w:p>
      <w:r>
        <w:t>Susan Clark reported that the transaction extracts for the trailing period now reconcile to the general ledger within tolerance, and that the two variances remaining are understood and documented. One is a timing difference at period close. The other is a set of accounts transferred between systems during a conversion, which are identifiable and have been excluded from the baseline with the exclusion disclosed. Megan Wells confirmed that the conversion population is known to her team and that the exclusion is appropriate for this purpose.</w:t>
      </w:r>
    </w:p>
    <w:p>
      <w:r>
        <w:t>The baseline is therefore fixed for the balance of the engagement. Susan Clark noted that any subsequent restatement would be disclosed rather than absorbed, and that no figure presented from this point forward will move without a note explaining why.</w:t>
      </w:r>
    </w:p>
    <w:p>
      <w:pPr>
        <w:pStyle w:val="Heading2"/>
      </w:pPr>
      <w:r>
        <w:t>Denial Analysis, First Pass</w:t>
      </w:r>
    </w:p>
    <w:p>
      <w:r>
        <w:t>Susan Clark walked the group through denials recategorized by dollars rather than by count, which reorders the picture materially against the client's existing reporting. Two categories that are minor by volume carry a disproportionate share of the dollars. Susan Clark was explicit that this is a description of where dollars are denied, not yet a statement of root cause, and that the traceback sampling to determine where each denial originates is in progress and not complete. She declined to characterize the front end as the source until that sampling supports it. Megan Wells asked whether the early pattern was consistent with what her staff believed; Susan Clark said it was consistent with part of it and inconsistent with another part, and that she would rather present the full traceback in three weeks than a half-supported conclusion now.</w:t>
      </w:r>
    </w:p>
    <w:p>
      <w:r>
        <w:t>Megan Wells raised a question about a physician arrangement affecting how certain professional charges are routed at Sullivan, Hall and Kelly. Daniel Alvarado restated the scope: the diagnostic examines how the arrangement affects billing mechanics and cash, and does not assess whether the arrangement's terms are supportable. Any question of that kind would require a separate scope and a separate methodology, and he would not offer a view on it in passing or in this report. Megan Wells accepted the distinction and will raise the question with her general counsel to determine whether the organization wants to pursue it.</w:t>
      </w:r>
    </w:p>
    <w:p>
      <w:pPr>
        <w:pStyle w:val="Heading2"/>
      </w:pPr>
      <w:r>
        <w:t>Open Data Items</w:t>
      </w:r>
    </w:p>
    <w:p>
      <w:r>
        <w:t>Two items from the original request remain outstanding: the authorization detail for one department, and the worklist assignment history for the follow-up staff. Megan Wells reported that the first is held by a vendor and that she has escalated. The second exists but has not been extracted before and requires a report build. Susan Clark noted that the follow-up analysis cannot proceed without the second item and asked that its status be reported weekly rather than at the next session.</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Due</w:t>
            </w:r>
          </w:p>
        </w:tc>
      </w:tr>
      <w:tr>
        <w:tc>
          <w:tcPr>
            <w:tcW w:type="dxa" w:w="2880"/>
          </w:tcPr>
          <w:p>
            <w:r>
              <w:t>Complete denial traceback sampling and document the origin categories</w:t>
            </w:r>
          </w:p>
        </w:tc>
        <w:tc>
          <w:tcPr>
            <w:tcW w:type="dxa" w:w="2880"/>
          </w:tcPr>
          <w:p>
            <w:r>
              <w:t>Susan Clark</w:t>
            </w:r>
          </w:p>
        </w:tc>
        <w:tc>
          <w:tcPr>
            <w:tcW w:type="dxa" w:w="2880"/>
          </w:tcPr>
          <w:p>
            <w:r>
              <w:t>Three weeks</w:t>
            </w:r>
          </w:p>
        </w:tc>
      </w:tr>
      <w:tr>
        <w:tc>
          <w:tcPr>
            <w:tcW w:type="dxa" w:w="2880"/>
          </w:tcPr>
          <w:p>
            <w:r>
              <w:t>Circulate the fixed baseline memo, including the documented exclusion</w:t>
            </w:r>
          </w:p>
        </w:tc>
        <w:tc>
          <w:tcPr>
            <w:tcW w:type="dxa" w:w="2880"/>
          </w:tcPr>
          <w:p>
            <w:r>
              <w:t>Susan Clark</w:t>
            </w:r>
          </w:p>
        </w:tc>
        <w:tc>
          <w:tcPr>
            <w:tcW w:type="dxa" w:w="2880"/>
          </w:tcPr>
          <w:p>
            <w:r>
              <w:t>One week</w:t>
            </w:r>
          </w:p>
        </w:tc>
      </w:tr>
      <w:tr>
        <w:tc>
          <w:tcPr>
            <w:tcW w:type="dxa" w:w="2880"/>
          </w:tcPr>
          <w:p>
            <w:r>
              <w:t>Escalate the vendor authorization extract; report status weekly</w:t>
            </w:r>
          </w:p>
        </w:tc>
        <w:tc>
          <w:tcPr>
            <w:tcW w:type="dxa" w:w="2880"/>
          </w:tcPr>
          <w:p>
            <w:r>
              <w:t>Megan Wells</w:t>
            </w:r>
          </w:p>
        </w:tc>
        <w:tc>
          <w:tcPr>
            <w:tcW w:type="dxa" w:w="2880"/>
          </w:tcPr>
          <w:p>
            <w:r>
              <w:t>Weekly until delivered</w:t>
            </w:r>
          </w:p>
        </w:tc>
      </w:tr>
      <w:tr>
        <w:tc>
          <w:tcPr>
            <w:tcW w:type="dxa" w:w="2880"/>
          </w:tcPr>
          <w:p>
            <w:r>
              <w:t>Commission the worklist assignment report build and confirm a delivery date</w:t>
            </w:r>
          </w:p>
        </w:tc>
        <w:tc>
          <w:tcPr>
            <w:tcW w:type="dxa" w:w="2880"/>
          </w:tcPr>
          <w:p>
            <w:r>
              <w:t>Megan Wells</w:t>
            </w:r>
          </w:p>
        </w:tc>
        <w:tc>
          <w:tcPr>
            <w:tcW w:type="dxa" w:w="2880"/>
          </w:tcPr>
          <w:p>
            <w:r>
              <w:t>Two weeks</w:t>
            </w:r>
          </w:p>
        </w:tc>
      </w:tr>
      <w:tr>
        <w:tc>
          <w:tcPr>
            <w:tcW w:type="dxa" w:w="2880"/>
          </w:tcPr>
          <w:p>
            <w:r>
              <w:t>Prepare a short scope note on the physician arrangement question for the client's counsel</w:t>
            </w:r>
          </w:p>
        </w:tc>
        <w:tc>
          <w:tcPr>
            <w:tcW w:type="dxa" w:w="2880"/>
          </w:tcPr>
          <w:p>
            <w:r>
              <w:t>Daniel Alvarado</w:t>
            </w:r>
          </w:p>
        </w:tc>
        <w:tc>
          <w:tcPr>
            <w:tcW w:type="dxa" w:w="2880"/>
          </w:tcPr>
          <w:p>
            <w:r>
              <w:t>Two weeks</w:t>
            </w:r>
          </w:p>
        </w:tc>
      </w:tr>
      <w:tr>
        <w:tc>
          <w:tcPr>
            <w:tcW w:type="dxa" w:w="2880"/>
          </w:tcPr>
          <w:p>
            <w:r>
              <w:t>Confirm distribution list for the interim status report</w:t>
            </w:r>
          </w:p>
        </w:tc>
        <w:tc>
          <w:tcPr>
            <w:tcW w:type="dxa" w:w="2880"/>
          </w:tcPr>
          <w:p>
            <w:r>
              <w:t>Megan Wells</w:t>
            </w:r>
          </w:p>
        </w:tc>
        <w:tc>
          <w:tcPr>
            <w:tcW w:type="dxa" w:w="2880"/>
          </w:tcPr>
          <w:p>
            <w:r>
              <w:t>One week</w:t>
            </w:r>
          </w:p>
        </w:tc>
      </w:tr>
    </w:tbl>
    <w:p>
      <w:r>
        <w:t>No interim findings were released at this session and none are to be circulated before the traceback is complete. Next working session to be scheduled by Megan Wells.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Verdant Health Advisory LLC</w:t>
    </w:r>
  </w:p>
  <w:p>
    <w:r>
      <w:rPr>
        <w:sz w:val="18"/>
      </w:rPr>
      <w:t>www.verdanthealthadvisory.com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Verdant Health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Revenue Cycle Diagnostic for Sullivan, Hall and Kelly</dc:title>
  <dc:subject/>
  <dc:creator>Daniel Alvarado</dc:creator>
  <cp:keywords/>
  <dc:description>generated by python-docx</dc:description>
  <cp:lastModifiedBy>Daniel Alvarado</cp:lastModifiedBy>
  <cp:revision>1</cp:revision>
  <dcterms:created xsi:type="dcterms:W3CDTF">2024-05-18T09:00:00Z</dcterms:created>
  <dcterms:modified xsi:type="dcterms:W3CDTF">2024-05-18T09:00:00Z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