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Revenue Cycle Diagnostic Working Session</w:t>
      </w:r>
    </w:p>
    <w:p>
      <w:pPr>
        <w:pStyle w:val="Heading2"/>
      </w:pPr>
      <w:r>
        <w:t>Attendees</w:t>
      </w:r>
    </w:p>
    <w:p>
      <w:pPr>
        <w:pStyle w:val="ListBullet"/>
      </w:pPr>
      <w:r>
        <w:t>Daniel Alvarado, Principal, Verdant Health Advisory</w:t>
      </w:r>
    </w:p>
    <w:p>
      <w:pPr>
        <w:pStyle w:val="ListBullet"/>
      </w:pPr>
      <w:r>
        <w:t>Susan Clark, Principal, Verdant Health Advisory</w:t>
      </w:r>
    </w:p>
    <w:p>
      <w:pPr>
        <w:pStyle w:val="ListBullet"/>
      </w:pPr>
      <w:r>
        <w:t>Megan Wells, Director of Operations, Sullivan, Hall and Kelly</w:t>
      </w:r>
    </w:p>
    <w:p>
      <w:r>
        <w:t>Minutes prepared by Daniel Alvarado. Purpose of the session was to review the draft findings report and the sized opportunity summary ahead of the closing presentation, and to settle the remaining open items.</w:t>
      </w:r>
    </w:p>
    <w:p>
      <w:pPr>
        <w:pStyle w:val="Heading2"/>
      </w:pPr>
      <w:r>
        <w:t>Draft Findings</w:t>
      </w:r>
    </w:p>
    <w:p>
      <w:r>
        <w:t>Susan Clark walked the draft in the order the report presents it: findings first, with the analysis behind each, and recommendations set apart and labeled. Megan Wells asked whether the two could be combined for readability, since the executive audience would prefer a single list. Susan Clark declined and explained the reason without softening it. A recommendation quoted as a finding is a liability for both firms, and the separation is not a stylistic preference. Megan Wells accepted this and suggested a summary page carrying both, clearly marked, which Susan Clark agreed to as long as the labels travel with the text. That will be added.</w:t>
      </w:r>
    </w:p>
    <w:p>
      <w:r>
        <w:t>The central finding stands as reported at the midpoint and is now fully supported: a substantial share of denied dollars originates in eligibility verification and authorization capture at the front end and is discovered downstream as a denial. The traceback sampling supports this within stated bounds, and the bounds are in the body of the report rather than in a footnote. Megan Wells noted that this will be unwelcome to at least one department leader at Sullivan, Hall and Kelly. Susan Clark said the analysis will be walked in full before the conclusion is presented, so that the method is available to anyone who wishes to dispute it.</w:t>
      </w:r>
    </w:p>
    <w:p>
      <w:pPr>
        <w:pStyle w:val="Heading2"/>
      </w:pPr>
      <w:r>
        <w:t>Opportunity Summary</w:t>
      </w:r>
    </w:p>
    <w:p>
      <w:r>
        <w:t>Each item in the summary carries an estimated recoverable value, a difficulty rating, and its assumptions stated in the open. Three items are marked unsized and described qualitatively, because the data does not support a defensible estimate. Megan Wells asked whether a range could be offered for those. Susan Clark said no, on the grounds that a range implies a distribution we have not established, and that an unsized item honestly labeled is more useful to the organization than a number that cannot survive a question from finance. The three remain unsized.</w:t>
      </w:r>
    </w:p>
    <w:p>
      <w:r>
        <w:t>The vendor authorization extract arrived, late but in time. The affected charge capture work for that department is complete, and the findings for it are presented in full rather than partial. That risk is closed and the report says so.</w:t>
      </w:r>
    </w:p>
    <w:p>
      <w:pPr>
        <w:pStyle w:val="Heading2"/>
      </w:pPr>
      <w:r>
        <w:t>Scope Boundaries</w:t>
      </w:r>
    </w:p>
    <w:p>
      <w:r>
        <w:t>Daniel Alvarado confirmed that the documentation practice observations remain noted and not developed. The report recommends a coding audit as a separate exercise and does not attempt one. Separately, the physician arrangement question raised earlier remains outside this engagement. Daniel Alvarado's scope note is with the client's counsel. He restated that no view on the supportability of those terms appears anywhere in the draft, and that if counsel wishes the question answered it will be scoped and engaged in writing before any work is done.</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Add the marked summary page carrying findings and recommendations with labels intact</w:t>
            </w:r>
          </w:p>
        </w:tc>
        <w:tc>
          <w:tcPr>
            <w:tcW w:type="dxa" w:w="2880"/>
          </w:tcPr>
          <w:p>
            <w:r>
              <w:t>Susan Clark</w:t>
            </w:r>
          </w:p>
        </w:tc>
        <w:tc>
          <w:tcPr>
            <w:tcW w:type="dxa" w:w="2880"/>
          </w:tcPr>
          <w:p>
            <w:r>
              <w:t>One week</w:t>
            </w:r>
          </w:p>
        </w:tc>
      </w:tr>
      <w:tr>
        <w:tc>
          <w:tcPr>
            <w:tcW w:type="dxa" w:w="2880"/>
          </w:tcPr>
          <w:p>
            <w:r>
              <w:t>Complete the source check on every client-facing figure in the draft, performed by someone other than the preparer</w:t>
            </w:r>
          </w:p>
        </w:tc>
        <w:tc>
          <w:tcPr>
            <w:tcW w:type="dxa" w:w="2880"/>
          </w:tcPr>
          <w:p>
            <w:r>
              <w:t>Daniel Alvarado</w:t>
            </w:r>
          </w:p>
        </w:tc>
        <w:tc>
          <w:tcPr>
            <w:tcW w:type="dxa" w:w="2880"/>
          </w:tcPr>
          <w:p>
            <w:r>
              <w:t>One week</w:t>
            </w:r>
          </w:p>
        </w:tc>
      </w:tr>
      <w:tr>
        <w:tc>
          <w:tcPr>
            <w:tcW w:type="dxa" w:w="2880"/>
          </w:tcPr>
          <w:p>
            <w:r>
              <w:t>Confirm the closing presentation date, audience, and room</w:t>
            </w:r>
          </w:p>
        </w:tc>
        <w:tc>
          <w:tcPr>
            <w:tcW w:type="dxa" w:w="2880"/>
          </w:tcPr>
          <w:p>
            <w:r>
              <w:t>Megan Wells</w:t>
            </w:r>
          </w:p>
        </w:tc>
        <w:tc>
          <w:tcPr>
            <w:tcW w:type="dxa" w:w="2880"/>
          </w:tcPr>
          <w:p>
            <w:r>
              <w:t>One week</w:t>
            </w:r>
          </w:p>
        </w:tc>
      </w:tr>
      <w:tr>
        <w:tc>
          <w:tcPr>
            <w:tcW w:type="dxa" w:w="2880"/>
          </w:tcPr>
          <w:p>
            <w:r>
              <w:t>Circulate the near-final draft to the distribution list Megan Wells confirms</w:t>
            </w:r>
          </w:p>
        </w:tc>
        <w:tc>
          <w:tcPr>
            <w:tcW w:type="dxa" w:w="2880"/>
          </w:tcPr>
          <w:p>
            <w:r>
              <w:t>Susan Clark</w:t>
            </w:r>
          </w:p>
        </w:tc>
        <w:tc>
          <w:tcPr>
            <w:tcW w:type="dxa" w:w="2880"/>
          </w:tcPr>
          <w:p>
            <w:r>
              <w:t>Two weeks</w:t>
            </w:r>
          </w:p>
        </w:tc>
      </w:tr>
      <w:tr>
        <w:tc>
          <w:tcPr>
            <w:tcW w:type="dxa" w:w="2880"/>
          </w:tcPr>
          <w:p>
            <w:r>
              <w:t>Advise counsel of the status of the scope note on the physician arrangement question</w:t>
            </w:r>
          </w:p>
        </w:tc>
        <w:tc>
          <w:tcPr>
            <w:tcW w:type="dxa" w:w="2880"/>
          </w:tcPr>
          <w:p>
            <w:r>
              <w:t>Megan Wells</w:t>
            </w:r>
          </w:p>
        </w:tc>
        <w:tc>
          <w:tcPr>
            <w:tcW w:type="dxa" w:w="2880"/>
          </w:tcPr>
          <w:p>
            <w:r>
              <w:t>At her discretion</w:t>
            </w:r>
          </w:p>
        </w:tc>
      </w:tr>
      <w:tr>
        <w:tc>
          <w:tcPr>
            <w:tcW w:type="dxa" w:w="2880"/>
          </w:tcPr>
          <w:p>
            <w:r>
              <w:t>Route the draft for partner review before any copy leaves the office</w:t>
            </w:r>
          </w:p>
        </w:tc>
        <w:tc>
          <w:tcPr>
            <w:tcW w:type="dxa" w:w="2880"/>
          </w:tcPr>
          <w:p>
            <w:r>
              <w:t>Susan Clark</w:t>
            </w:r>
          </w:p>
        </w:tc>
        <w:tc>
          <w:tcPr>
            <w:tcW w:type="dxa" w:w="2880"/>
          </w:tcPr>
          <w:p>
            <w:r>
              <w:t>Before circulation</w:t>
            </w:r>
          </w:p>
        </w:tc>
      </w:tr>
    </w:tbl>
    <w:p>
      <w:r>
        <w:t>No copy of the draft is to be distributed outside this group until the partner review is complete. Next session will be the closing presentation dry run, to be scheduled by Megan Wells.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Verdant Health Advisory LLC</w:t>
    </w:r>
  </w:p>
  <w:p>
    <w:r>
      <w:rPr>
        <w:sz w:val="18"/>
      </w:rPr>
      <w:t>www.verdanthealthadvisory.com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Verdant Health Advisory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Revenue Cycle Diagnostic for Sullivan, Hall and Kelly</dc:title>
  <dc:subject/>
  <dc:creator>Daniel Alvarado</dc:creator>
  <cp:keywords/>
  <dc:description>generated by python-docx</dc:description>
  <cp:lastModifiedBy>Daniel Alvarado</cp:lastModifiedBy>
  <cp:revision>1</cp:revision>
  <dcterms:created xsi:type="dcterms:W3CDTF">2024-08-16T09:00:00Z</dcterms:created>
  <dcterms:modified xsi:type="dcterms:W3CDTF">2024-08-16T09:00:00Z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