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Verdant Health Advisory LLC</w:t>
      </w:r>
    </w:p>
    <w:p>
      <w:pPr>
        <w:pStyle w:val="Heading2"/>
      </w:pPr>
      <w:r>
        <w:t>Firm Overview</w:t>
      </w:r>
    </w:p>
    <w:p>
      <w:r>
        <w:t>Verdant Health Advisory LLC is a healthcare operations consultancy. We work for health systems, independent physician groups, and the joint ventures they form together, on the questions that sit underneath the financial statements rather than on top of them: which service lines earn their keep, whether a physician compensation arrangement would survive a fair-market-value review, and where the revenue cycle leaks between the point of service and the posted payment. The firm is small on purpose. The people who sell the work are the people who do the work, and there is no layer between the client and the analysis.</w:t>
      </w:r>
    </w:p>
    <w:p>
      <w:pPr>
        <w:pStyle w:val="Heading2"/>
      </w:pPr>
      <w:r>
        <w:t>What We Do</w:t>
      </w:r>
    </w:p>
    <w:p>
      <w:r>
        <w:t>Our work is unglamorous and we do not apologize for that. Most of what a health system needs to know about its own operations is already in its data. It is simply spread across systems that were never asked to agree with one another, and nobody has had the time to make them agree. We reconcile those sources, we say plainly where they stop agreeing, and we do not paper over the gap with an assumption the client cannot see. Where an inference is required, we mark it as an inference. That habit slows a report down by a week and has not yet cost us an engagement.</w:t>
      </w:r>
    </w:p>
    <w:p>
      <w:pPr>
        <w:pStyle w:val="ListBullet"/>
      </w:pPr>
      <w:r>
        <w:t>Service line contribution analysis: direct and allocated cost by line, with the allocation method stated in full so that it can be argued with rather than merely accepted.</w:t>
      </w:r>
    </w:p>
    <w:p>
      <w:pPr>
        <w:pStyle w:val="ListBullet"/>
      </w:pPr>
      <w:r>
        <w:t>Physician compensation review: arrangement-by-arrangement testing against defensible benchmarks, documented to a standard a fair-market-value review can rely on instead of being asked to trust.</w:t>
      </w:r>
    </w:p>
    <w:p>
      <w:pPr>
        <w:pStyle w:val="ListBullet"/>
      </w:pPr>
      <w:r>
        <w:t>Revenue cycle assessment: registration through posting, tracing where charges are lost, denied, or written off, and separating what is recoverable from what is merely annoying.</w:t>
      </w:r>
    </w:p>
    <w:p>
      <w:pPr>
        <w:pStyle w:val="ListBullet"/>
      </w:pPr>
      <w:r>
        <w:t>Ambulatory and joint venture operations: throughput, block utilization, and the governance questions that follow when two parties own one facility and each has its own report.</w:t>
      </w:r>
    </w:p>
    <w:p>
      <w:pPr>
        <w:pStyle w:val="Heading2"/>
      </w:pPr>
      <w:r>
        <w:t>Representative Client Work</w:t>
      </w:r>
    </w:p>
    <w:p>
      <w:r>
        <w:t>The firm's current engagement is with Johnson, Cross and Gibbs. Much of this year's fieldwork has been conducted remotely, which has been less of an obstacle than we expected for the data work and rather more of one for the conversations that surround it. We name a client only with permission and we describe an engagement only at the level the client has approved, so this section will always be shorter than a marketing department would like. What we can say generally is that the questions we are asked are rarely new. They are old questions nobody has had time to answer from source, and the answer is usually less dramatic and more actionable than the version circulating in the hallway.</w:t>
      </w:r>
    </w:p>
    <w:p>
      <w:pPr>
        <w:pStyle w:val="Heading2"/>
      </w:pPr>
      <w:r>
        <w:t>How an Engagement Runs</w:t>
      </w:r>
    </w:p>
    <w:p>
      <w:r>
        <w:t>Richard Marsh manages our engagements: scope, schedule, deliverable dates, and the executed paperwork that has to be in place before fieldwork starts. He confirms commitments in writing the same day they are made, so if you believe you have agreed to something with us, you will have it from him in an email before the day is out. He also plans around the way a client's office actually works. Several of the offices we deal with handle contracting entirely on paper, and their consents and executed statements of work come back to us as scans. We build the calendar around that rather than pretending it away, and we would sooner add a week to the front of an engagement than begin work against an unsigned scope.</w:t>
      </w:r>
    </w:p>
    <w:p>
      <w:pPr>
        <w:pStyle w:val="Heading2"/>
      </w:pPr>
      <w:r>
        <w:t>Our Standard</w:t>
      </w:r>
    </w:p>
    <w:p>
      <w:r>
        <w:t>Laura Brown, Managing Partner, reads every deliverable before it leaves the office. What she is hunting for is the sentence that claims more than the analysis earned, and she takes it out. Our reports lead with findings, a finding being something the client's own data supports and that we can reproduce from raw inputs. Recommendations follow, in their own section, labeled as recommendations, because a recommendation is judgment and should never be quotable as a finding. We assume general counsel is in the room. In healthcare that assumption is correct often enough that writing any other way is a disservice to the client.</w:t>
      </w:r>
    </w:p>
    <w:p>
      <w:r>
        <w:t>If the question is whether a number is right, we can usually tell you. If the question is whether an arrangement is defensible, we can tell you what the record supports and what it does not, and we will not tell you more than that. A client who wants the second answer regardless of the evidence is better served somewhere else, and we prefer to say so early rather than at the end.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Laura Brown</dc:creator>
  <cp:keywords/>
  <dc:description>generated by python-docx</dc:description>
  <cp:lastModifiedBy>Laura Brown</cp:lastModifiedBy>
  <cp:revision>1</cp:revision>
  <dcterms:created xsi:type="dcterms:W3CDTF">2020-09-03T09:00:00Z</dcterms:created>
  <dcterms:modified xsi:type="dcterms:W3CDTF">2020-09-03T09:00:00Z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