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Verdant Health Advisory LLC</w:t>
      </w:r>
    </w:p>
    <w:p>
      <w:pPr>
        <w:pStyle w:val="Heading2"/>
      </w:pPr>
      <w:r>
        <w:t>Firm Overview</w:t>
      </w:r>
    </w:p>
    <w:p>
      <w:r>
        <w:t>Verdant Health Advisory LLC advises health systems, independent physician groups, and their jointly owned facilities on operating questions: which service lines earn their keep, whether a physician compensation arrangement would survive a fair-market-value review, and where the revenue cycle leaks between the point of service and the posted payment. The firm has grown since the last edition of this overview, though not in the direction consultancies usually grow. We have added analysts rather than partners, and we still do not staff an engagement with anyone the client has not met. This edition supersedes the earlier one and describes the practice as it now works rather than as it was described when there was less of it to describe.</w:t>
      </w:r>
    </w:p>
    <w:p>
      <w:pPr>
        <w:pStyle w:val="Heading2"/>
      </w:pPr>
      <w:r>
        <w:t>Service Lines</w:t>
      </w:r>
    </w:p>
    <w:p>
      <w:r>
        <w:t>The four lines below are not a menu. Most engagements start in one and end up touching a second, because the questions are joined together in the client's operations even where we have separated them on a page.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Service line</w:t>
            </w:r>
          </w:p>
        </w:tc>
        <w:tc>
          <w:tcPr>
            <w:tcW w:type="dxa" w:w="2880"/>
          </w:tcPr>
          <w:p>
            <w:r>
              <w:rPr>
                <w:b/>
              </w:rPr>
              <w:t>The question behind it</w:t>
            </w:r>
          </w:p>
        </w:tc>
        <w:tc>
          <w:tcPr>
            <w:tcW w:type="dxa" w:w="2880"/>
          </w:tcPr>
          <w:p>
            <w:r>
              <w:rPr>
                <w:b/>
              </w:rPr>
              <w:t>What the client receives</w:t>
            </w:r>
          </w:p>
        </w:tc>
      </w:tr>
      <w:tr>
        <w:tc>
          <w:tcPr>
            <w:tcW w:type="dxa" w:w="2880"/>
          </w:tcPr>
          <w:p>
            <w:r>
              <w:t>Service line contribution</w:t>
            </w:r>
          </w:p>
        </w:tc>
        <w:tc>
          <w:tcPr>
            <w:tcW w:type="dxa" w:w="2880"/>
          </w:tcPr>
          <w:p>
            <w:r>
              <w:t>Is this line paying for itself once allocated cost is honest?</w:t>
            </w:r>
          </w:p>
        </w:tc>
        <w:tc>
          <w:tcPr>
            <w:tcW w:type="dxa" w:w="2880"/>
          </w:tcPr>
          <w:p>
            <w:r>
              <w:t>Contribution by line, the allocation method stated in full, and the sensitivity of the answer to that method.</w:t>
            </w:r>
          </w:p>
        </w:tc>
      </w:tr>
      <w:tr>
        <w:tc>
          <w:tcPr>
            <w:tcW w:type="dxa" w:w="2880"/>
          </w:tcPr>
          <w:p>
            <w:r>
              <w:t>Physician compensation review</w:t>
            </w:r>
          </w:p>
        </w:tc>
        <w:tc>
          <w:tcPr>
            <w:tcW w:type="dxa" w:w="2880"/>
          </w:tcPr>
          <w:p>
            <w:r>
              <w:t>Would this arrangement hold up if someone looked at it carefully?</w:t>
            </w:r>
          </w:p>
        </w:tc>
        <w:tc>
          <w:tcPr>
            <w:tcW w:type="dxa" w:w="2880"/>
          </w:tcPr>
          <w:p>
            <w:r>
              <w:t>Arrangement-by-arrangement testing against benchmarks, with the record a fair-market-value review needs rather than a conclusion it is asked to trust.</w:t>
            </w:r>
          </w:p>
        </w:tc>
      </w:tr>
      <w:tr>
        <w:tc>
          <w:tcPr>
            <w:tcW w:type="dxa" w:w="2880"/>
          </w:tcPr>
          <w:p>
            <w:r>
              <w:t>Revenue cycle assessment</w:t>
            </w:r>
          </w:p>
        </w:tc>
        <w:tc>
          <w:tcPr>
            <w:tcW w:type="dxa" w:w="2880"/>
          </w:tcPr>
          <w:p>
            <w:r>
              <w:t>Where does the money go between the visit and the deposit?</w:t>
            </w:r>
          </w:p>
        </w:tc>
        <w:tc>
          <w:tcPr>
            <w:tcW w:type="dxa" w:w="2880"/>
          </w:tcPr>
          <w:p>
            <w:r>
              <w:t>Leakage traced from registration to posting, split into what is recoverable and what is structural.</w:t>
            </w:r>
          </w:p>
        </w:tc>
      </w:tr>
      <w:tr>
        <w:tc>
          <w:tcPr>
            <w:tcW w:type="dxa" w:w="2880"/>
          </w:tcPr>
          <w:p>
            <w:r>
              <w:t>Ambulatory and joint venture operations</w:t>
            </w:r>
          </w:p>
        </w:tc>
        <w:tc>
          <w:tcPr>
            <w:tcW w:type="dxa" w:w="2880"/>
          </w:tcPr>
          <w:p>
            <w:r>
              <w:t>Two owners, one facility, whose number is right?</w:t>
            </w:r>
          </w:p>
        </w:tc>
        <w:tc>
          <w:tcPr>
            <w:tcW w:type="dxa" w:w="2880"/>
          </w:tcPr>
          <w:p>
            <w:r>
              <w:t>Throughput and utilization reconciled to a single definition both parties agreed to in advance.</w:t>
            </w:r>
          </w:p>
        </w:tc>
      </w:tr>
    </w:tbl>
    <w:p>
      <w:pPr>
        <w:pStyle w:val="Heading2"/>
      </w:pPr>
      <w:r>
        <w:t>Representative Client Work</w:t>
      </w:r>
    </w:p>
    <w:p>
      <w:r>
        <w:t>Our first engagement, with Johnson, Cross and Gibbs, set the pattern. The question we were handed looked like a costing exercise and turned out to be a definitional one: two internal reports disagreed and nobody had had the time to find out why. The reconciliation was the work that mattered. The model was the straightforward part and was worth nothing until the definitions underneath it agreed.</w:t>
      </w:r>
    </w:p>
    <w:p>
      <w:r>
        <w:t>Johnson, Cross and Gibbs came to us with a question that had a preferred answer already attached to it. We tested it, the record did not support it, and we said so in the finding rather than softening it into a recommendation. The client did not enjoy the report. Their counsel, we were told afterward, did. That engagement remains the clearest illustration we have of why we keep findings and recommendations in separate sections and label them.</w:t>
      </w:r>
    </w:p>
    <w:p>
      <w:r>
        <w:t>Lopez, Mcbride and Evans engaged us this year. The work is underway and we will not characterize findings that are not final. What we will say is that the first weeks again went to establishing which of two internal reports was the one to believe. We have stopped being surprised by that and now budget for it openly in the scope, rather than absorbing it quietly and then explaining why the engagement is late.</w:t>
      </w:r>
    </w:p>
    <w:p>
      <w:pPr>
        <w:pStyle w:val="Heading2"/>
      </w:pPr>
      <w:r>
        <w:t>How We Write</w:t>
      </w:r>
    </w:p>
    <w:p>
      <w:r>
        <w:t>Laura Brown, Managing Partner, still reads every deliverable before it leaves the office, and what she takes out is any sentence claiming more than the analysis earned. Findings lead. A finding is something the client's own data supports and that we can reproduce from raw inputs, and if we cannot reproduce it, it does not go in. Recommendations follow, in their own section, labeled. We assume general counsel is on the distribution whether or not the cover note says so. We use fair-market-value language only where we mean it and can support it; it is a term of art, not an adjective, and it is worn out fastest by the people who reach for it as decoration.</w:t>
      </w:r>
    </w:p>
    <w:p>
      <w:pPr>
        <w:pStyle w:val="Heading2"/>
      </w:pPr>
      <w:r>
        <w:t>A Practical Note on Paper</w:t>
      </w:r>
    </w:p>
    <w:p>
      <w:r>
        <w:t>Several of the offices we work with handle contracting entirely on paper: printed, signed, scanned, and returned as images with no text underneath them. Those files are pictures of documents, and nothing we own can search them. We have stopped treating this as a defect to be corrected in the client and started treating it as a fact to be planned around, which in practice means asking for executed paperwork earlier than seems necessary and being pleasant about the third ask. It shapes our schedules more than any other single thing, and a firm that tells you otherwise has not worked in this sector.</w:t>
      </w:r>
    </w:p>
    <w:p>
      <w:r>
        <w:t>We are a small firm and intend to stay one. If your question is whether a number is right, we can usually tell you. If it is whether an arrangement is defensible, we will tell you what the record supports and what it does not, and nothing beyond that.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Verdant Health Advisory LLC</w:t>
    </w:r>
  </w:p>
  <w:p>
    <w:r>
      <w:rPr>
        <w:sz w:val="18"/>
      </w:rPr>
      <w:t>www.verdanthealthadvisory.com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Verdant Health Advisory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Laura Brown</dc:creator>
  <cp:keywords/>
  <dc:description>generated by python-docx</dc:description>
  <cp:lastModifiedBy>Laura Brown</cp:lastModifiedBy>
  <cp:revision>1</cp:revision>
  <dcterms:created xsi:type="dcterms:W3CDTF">2023-09-03T09:00:00Z</dcterms:created>
  <dcterms:modified xsi:type="dcterms:W3CDTF">2023-09-03T09:00:00Z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