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Barbara Freeman</w:t>
      </w:r>
    </w:p>
    <w:p>
      <w:r>
        <w:t>Advisory practice. Prepared by Laura Brown, Managing Partner.</w:t>
      </w:r>
    </w:p>
    <w:p>
      <w:r>
        <w:t>Barbara Freeman joins us as an Analyst in the advisory practice. She comes to the firm from the operating side of healthcare rather than from consulting, which is the reason we hired her. Most of what we are asked to analyze was somebody's daily work long before it was anybody's data, and it helps to have a person in the room who has done the daily work. We are a small firm, which means the person who signs the report is the person who read your draft, and nothing you produce disappears into a deck that someone else presents. Barbara, welcome. This record is the version of the conversation you can reread in three months when you have forgotten half of it.</w:t>
      </w:r>
    </w:p>
    <w:p>
      <w:r>
        <w:t>Barbara sits in Advisory and will staff live engagements from her first week. We do not keep a bench and we do not run a training track. You will be given real work on a real client deliverable, and your draft will come back marked up. The markup is the job, not a verdict on the draft. Everyone here has their work marked up, including me. What is being taught is the house standard for what a sentence has to earn before a client reads it.</w:t>
      </w:r>
    </w:p>
    <w:p>
      <w:r>
        <w:t>Three things we will hold you to. First, findings and recommendations stay apart and stay labeled. A finding is what the client's data supports and what you can reproduce from source; everything else is a recommendation and says so on its face. Second, when the client's data runs out, say where it ran out and where you began inferring. You do this instinctively already and you should keep doing it. Third, and this one will feel wrong at first: do not qualify a finding you can support. If the evidence carries it, write it plainly. We will tell you when it does not.</w:t>
      </w:r>
    </w:p>
    <w:p>
      <w:r>
        <w:t>Practical items for your first period. Time is recorded daily against an engagement code, not reconstructed weekly from memory. Client material lives in the engagement folder on the share and nowhere else, your desktop included. Some of our clients work entirely on paper, and their executed documents reach us as scans with nothing searchable inside them, so if you cannot find a signed scope, ask before concluding it does not exist. And ask the naive question in the meeting rather than in the hallway afterward. In my experience the naive question is usually the one nobody in the room could answer, which is precisely why it was worth asking.</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Barbara Freeman</dc:title>
  <dc:subject/>
  <dc:creator>Laura Brown</dc:creator>
  <cp:keywords/>
  <dc:description>generated by python-docx</dc:description>
  <cp:lastModifiedBy>Laura Brown</cp:lastModifiedBy>
  <cp:revision>1</cp:revision>
  <dcterms:created xsi:type="dcterms:W3CDTF">2022-08-23T09:00:00Z</dcterms:created>
  <dcterms:modified xsi:type="dcterms:W3CDTF">2022-08-23T09:00:00Z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