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Joshua Dougherty</w:t>
      </w:r>
    </w:p>
    <w:p>
      <w:r>
        <w:t>Advisory practice. Prepared by Laura Brown, Managing Partner.</w:t>
      </w:r>
    </w:p>
    <w:p>
      <w:r>
        <w:t>Joshua Dougherty starts with us this week as an Analyst in Advisory. He will build most of the models our work rests on, which here is not a support role. The model is the deliverable's spine. The prose around it is an explanation of what the model already proved, and it is worth nothing if the model cannot carry it. Joshua, welcome, and consider yourself warned that you have joined at the point in the year when every client's fiscal calendar closes at once. It is a hard season to start in and a useful one, because you will see in your first eight weeks most of the ways a health system's numbers can disagree with themselves.</w:t>
      </w:r>
    </w:p>
    <w:p>
      <w:r>
        <w:t>The workbooks are Joshua's: pulling the client's sources, reconciling them against one another, and establishing which of two disagreeing reports is the one to believe. That reconciliation is not preliminary to the analysis. It is frequently the whole of it, and it is the part a client still remembers when the same question comes back around. He will also review other people's arithmetic before a deliverable leaves the office, and I expect him to be tiresome about it. The definitional mismatch everyone else read past is the one that ends up in the finding.</w:t>
      </w:r>
    </w:p>
    <w:p>
      <w:r>
        <w:t>The rule Joshua already keeps, stated here for the record: we do not release a figure we cannot reproduce from raw inputs. If someone asks for a number faster than reproduction allows, the answer is no, and that answer is mine to defend rather than yours. Say so and send them to me. A number in one of our reports is a promise that we can rebuild it from source in front of counsel, and that promise is the only thing anyone is actually paying us for. Nobody has ever engaged this firm for a figure they could have guessed.</w:t>
      </w:r>
    </w:p>
    <w:p>
      <w:r>
        <w:t>Practical items. Every workbook carries a methodology tab: source, extract date, and the transformation, in enough detail that a stranger could redo it without asking you anything. Nothing lives on your desktop; the engagement folder on the share is the only copy that exists as far as the firm is concerned. Time goes in daily against the engagement code, against the code and not against a memory of the week. Expect your first drafts back marked up, and let the exhibit carry the argument where it can, but write the caption so that a reader who skips the paragraph still leaves with the point. The office thins out around the holidays, so raise anything that needs a principal sooner than you otherwise would.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Joshua Dougherty</dc:title>
  <dc:subject/>
  <dc:creator>Laura Brown</dc:creator>
  <cp:keywords/>
  <dc:description>generated by python-docx</dc:description>
  <cp:lastModifiedBy>Laura Brown</cp:lastModifiedBy>
  <cp:revision>1</cp:revision>
  <dcterms:created xsi:type="dcterms:W3CDTF">2022-11-04T09:00:00Z</dcterms:created>
  <dcterms:modified xsi:type="dcterms:W3CDTF">2022-11-04T09:00:00Z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