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Jeffrey Ochoa, Megan Dudley</w:t>
        <w:br/>
        <w:t>From: David Sherman</w:t>
        <w:br/>
        <w:t>Re: Estes Group experience study</w:t>
      </w:r>
    </w:p>
    <w:p>
      <w:pPr>
        <w:pStyle w:val="Heading2"/>
      </w:pPr>
      <w:r>
        <w:t>What We Are Doing</w:t>
      </w:r>
    </w:p>
    <w:p>
      <w:r>
        <w:t>This memo sets the plan for the Estes Group experience study and assigns the work. The goal is a report the board can act on: a review of the plan's recent retirement, termination, disability, mortality, and salary experience against the assumptions now in force, with recommendations where the two diverge. The deliverables are that report and a workbook of exhibits that supports every rate in it. The study is a look-back over the observation period the client confirms, so the first job is to fix that window and the population inside it before any rate is computed.</w:t>
      </w:r>
    </w:p>
    <w:p>
      <w:r>
        <w:t>We do this the way we do every study. What the experience shows, what the plan assumes, and what we recommend are three separate things, and they stay separate in the workbook and in the report. If a rate surprises us, we find the reason before it reaches a page. A number we cannot explain is not a finding; it is an open question, and it stays open until it is answered.</w:t>
      </w:r>
    </w:p>
    <w:p>
      <w:r>
        <w:t>Barbara Hall, the Chief Operating Officer at Estes Group, is our point of contact. Data requests and scheduling go through her office. Any client-facing question goes through me before it goes to her, so that we speak with one voice on scope and timing.</w:t>
      </w:r>
    </w:p>
    <w:p>
      <w:pPr>
        <w:pStyle w:val="Heading2"/>
      </w:pPr>
      <w:r>
        <w:t>Assignments</w:t>
      </w:r>
    </w:p>
    <w:p>
      <w:r>
        <w:t>Here is how the work divides:</w:t>
      </w:r>
    </w:p>
    <w:p>
      <w:pPr>
        <w:pStyle w:val="ListBullet"/>
      </w:pPr>
      <w:r>
        <w:t>Data. I will reconstruct the member census and the plan's financial records, reconcile both, and document our reliance. I tie the counts to the prior study and to the client's own summaries, and I flag any gap before anything is tabulated.</w:t>
      </w:r>
    </w:p>
    <w:p>
      <w:pPr>
        <w:pStyle w:val="ListBullet"/>
      </w:pPr>
      <w:r>
        <w:t>Modeling. Jeffrey Ochoa builds the study model and runs the observed experience against the current assumptions. He sets no result as final until it is reviewed, and he traces any surprising rate back to the data behind it.</w:t>
      </w:r>
    </w:p>
    <w:p>
      <w:pPr>
        <w:pStyle w:val="ListBullet"/>
      </w:pPr>
      <w:r>
        <w:t>Exhibits and checks. Megan Dudley prepares the experience exhibits and the data checks beneath the modeling. She raises anything that does not reconcile rather than carrying it forward, and her questions are welcome the moment she has them.</w:t>
      </w:r>
    </w:p>
    <w:p>
      <w:pPr>
        <w:pStyle w:val="Heading2"/>
      </w:pPr>
      <w:r>
        <w:t>What Gates the Work</w:t>
      </w:r>
    </w:p>
    <w:p>
      <w:r>
        <w:t>Two things gate the rest. The first is complete member and financial data from Estes Group. The second is a clean confirmation of the plan provisions the current assumptions rest on. Until both are in hand, we tabulate nothing and treat every assumption as provisional. Data quality is the usual risk on a first study for a client; expect the census to need a pass for status codes and for members whose records do not agree with the summary. On the financial side, the contribution and withdrawal history has to distinguish a refunded member from one who left a balance in the fund, because the termination experience turns on that split. We raise anything unclear with Barbara Hall's office early rather than carry it into the model.</w:t>
      </w:r>
    </w:p>
    <w:p>
      <w:pPr>
        <w:pStyle w:val="Heading2"/>
      </w:pPr>
      <w:r>
        <w:t>Where We Start</w:t>
      </w:r>
    </w:p>
    <w:p>
      <w:r>
        <w:t>Work begins on February 4, 2019. The data request goes to Barbara Hall's office that week; it will list the member fields and the financial records we need and the format we want them in. Jeffrey Ochoa drafts the assumption inventory for review before any assumption is treated as settled. Megan Dudley sets up the exhibit shells so that the numbers drop into a form we can check as they arrive. In the first two weeks I expect us to load the census, tie it to the prior study, and open a short list of data questions for the client; I will keep that list on our running thread so nothing waits on a request no one has sent. We hold the study until the data and the plan provisions are both confirmed.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Experience Study for Estes Group</dc:title>
  <dc:subject/>
  <dc:creator>David Sherman</dc:creator>
  <cp:keywords/>
  <dc:description>generated by python-docx</dc:description>
  <cp:lastModifiedBy>David Sherman</cp:lastModifiedBy>
  <cp:revision>1</cp:revision>
  <dcterms:created xsi:type="dcterms:W3CDTF">2019-02-07T09:00:00Z</dcterms:created>
  <dcterms:modified xsi:type="dcterms:W3CDTF">2019-02-07T09:00:00Z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