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Prepared by: David Sherman, Senior Analyst</w:t>
        <w:br/>
        <w:t>Engagement: Experience Study for Estes Group</w:t>
      </w:r>
    </w:p>
    <w:p>
      <w:pPr>
        <w:pStyle w:val="Heading2"/>
      </w:pPr>
      <w:r>
        <w:t>Where the study stands</w:t>
      </w:r>
    </w:p>
    <w:p>
      <w:r>
        <w:t>The study is on schedule and within budget, and the work has moved past the data phase into measurement. We have a reconciled membership file, the exposures needed to count experience year by year are built, and we have begun setting what the Estes Group membership actually did against what the plan's current assumptions predicted. No result is final, and none should be read as a recommendation yet. At this stage we are counting, not concluding.</w:t>
      </w:r>
    </w:p>
    <w:p>
      <w:r>
        <w:t>Nothing seen so far suggests the study will be other than routine. The data are sound enough to build on, the open items are the ordinary ones a first study turns up, and the schedule leaves room for the review the results will need before anyone signs them. We would tell you if that read changed; as of this report it has not.</w:t>
      </w:r>
    </w:p>
    <w:p>
      <w:pPr>
        <w:pStyle w:val="Heading2"/>
      </w:pPr>
      <w:r>
        <w:t>Completed this period</w:t>
      </w:r>
    </w:p>
    <w:p>
      <w:r>
        <w:t>The period went mostly to putting the data beyond argument and building the machinery that turns it into experience counts. In order:</w:t>
      </w:r>
    </w:p>
    <w:p>
      <w:pPr>
        <w:pStyle w:val="ListBullet"/>
      </w:pPr>
      <w:r>
        <w:t>Megan Dudley reconciled the membership file against the plan's payroll and prior records, and it now ties within a small, documented margin.</w:t>
      </w:r>
    </w:p>
    <w:p>
      <w:pPr>
        <w:pStyle w:val="ListBullet"/>
      </w:pPr>
      <w:r>
        <w:t>We built the exposure tables that count, for each year of the study period, who was at risk of retiring, terminating, or dying, so that every rate we later report rests on a denominator a reader can trace.</w:t>
      </w:r>
    </w:p>
    <w:p>
      <w:pPr>
        <w:pStyle w:val="ListBullet"/>
      </w:pPr>
      <w:r>
        <w:t>Jeffrey Ochoa completed the first pass of the retirement and termination counts and began setting them against the counts expected under the current assumptions.</w:t>
      </w:r>
    </w:p>
    <w:p>
      <w:pPr>
        <w:pStyle w:val="ListBullet"/>
      </w:pPr>
      <w:r>
        <w:t>We assembled the salary history needed to study pay increases from the same payroll records, rather than a separate file, so the two cannot drift apart.</w:t>
      </w:r>
    </w:p>
    <w:p>
      <w:pPr>
        <w:pStyle w:val="Heading2"/>
      </w:pPr>
      <w:r>
        <w:t>Data and our reliance on it</w:t>
      </w:r>
    </w:p>
    <w:p>
      <w:r>
        <w:t>A study of this kind is only as sound as the census beneath it, and we treat the data accordingly. We do not audit what the plan provides; we reconcile it, check it against the prior records and the payroll, and document what we relied on. A small number of participant records still carry status codes we have asked the client to confirm. Until they are confirmed, we are holding those participants out of the counts rather than guessing at their status. This is the same discipline we apply to every figure in the study: what the data show, what we have assumed, and what we conclude are kept apart, so a reader can always see which of the three a number rests on. The count of held records is too small to move the study, but we would report it to you all the same.</w:t>
      </w:r>
    </w:p>
    <w:p>
      <w:pPr>
        <w:pStyle w:val="Heading2"/>
      </w:pPr>
      <w:r>
        <w:t>The work ahead</w:t>
      </w:r>
    </w:p>
    <w:p>
      <w:r>
        <w:t>The second half of the study is measurement first and judgment after it:</w:t>
      </w:r>
    </w:p>
    <w:p>
      <w:pPr>
        <w:pStyle w:val="ListBullet"/>
      </w:pPr>
      <w:r>
        <w:t>Complete the actual-to-expected counts for every decrement the study covers, adding mortality and disability to retirement and termination.</w:t>
      </w:r>
    </w:p>
    <w:p>
      <w:pPr>
        <w:pStyle w:val="ListBullet"/>
      </w:pPr>
      <w:r>
        <w:t>Weigh each result for credibility, since several of the smaller membership groups will not carry enough experience to support a firm conclusion on their own.</w:t>
      </w:r>
    </w:p>
    <w:p>
      <w:pPr>
        <w:pStyle w:val="ListBullet"/>
      </w:pPr>
      <w:r>
        <w:t>Draft, for the signing actuary's review, the assumptions the data support changing and those it does not. The recommendation is the actuary's to make and to sign; our task is to lay the evidence in front of it.</w:t>
      </w:r>
    </w:p>
    <w:p>
      <w:pPr>
        <w:pStyle w:val="ListBullet"/>
      </w:pPr>
      <w:r>
        <w:t>Prepare the exhibits and the written study so that a reader can trace each recommended rate back to the counts behind it.</w:t>
      </w:r>
    </w:p>
    <w:p>
      <w:pPr>
        <w:pStyle w:val="Heading2"/>
      </w:pPr>
      <w:r>
        <w:t>Fees</w:t>
      </w:r>
    </w:p>
    <w:p>
      <w:r>
        <w:t>The study is being performed for the fixed fee of $65,000, and the work billed to date is consistent with that budget. We do not foresee anything that would require a change to it. Should the open data questions grow into something larger than the routine cleanup we expect, we would come to you for agreement before taking on the extra work.</w:t>
      </w:r>
    </w:p>
    <w:p>
      <w:pPr>
        <w:pStyle w:val="Heading2"/>
      </w:pPr>
      <w:r>
        <w:t>Risks we are watching</w:t>
      </w:r>
    </w:p>
    <w:p>
      <w:r>
        <w:t>Three things could affect the timing or the reach of the study. None is serious as matters stand:</w:t>
      </w:r>
    </w:p>
    <w:p>
      <w:pPr>
        <w:pStyle w:val="ListBullet"/>
      </w:pPr>
      <w:r>
        <w:t>The open status codes. If the client's confirmation is slow, the final counts wait on it, though the exposure work continues in the meantime.</w:t>
      </w:r>
    </w:p>
    <w:p>
      <w:pPr>
        <w:pStyle w:val="ListBullet"/>
      </w:pPr>
      <w:r>
        <w:t>Credibility of the smaller groups. Where a group is too small to speak for itself, we will say so plainly instead of presenting a thin result as if it were firm. This narrows what the study can conclude for those groups; it does not delay the study.</w:t>
      </w:r>
    </w:p>
    <w:p>
      <w:pPr>
        <w:pStyle w:val="ListBullet"/>
      </w:pPr>
      <w:r>
        <w:t>The membership's overall size. For assumptions such as mortality, the plan's own experience will likely need to be read alongside a published table rather than on its own, and we will be explicit wherever we have done so.</w:t>
      </w:r>
    </w:p>
    <w:p>
      <w:r>
        <w:t>We will send the next report once the actual-to-expected counts are complete across all decrements, at which point we can show you where the data and the current assumptions agree and where they part. Until then I remain the point of contact for the study, and a note to me reaches the whole team.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Experience Study for Estes Group</dc:title>
  <dc:subject/>
  <dc:creator>David Sherman</dc:creator>
  <cp:keywords/>
  <dc:description>generated by python-docx</dc:description>
  <cp:lastModifiedBy>David Sherman</cp:lastModifiedBy>
  <cp:revision>1</cp:revision>
  <dcterms:created xsi:type="dcterms:W3CDTF">2019-03-30T09:00:00Z</dcterms:created>
  <dcterms:modified xsi:type="dcterms:W3CDTF">2019-03-30T09:00:00Z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