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Present</w:t>
      </w:r>
    </w:p>
    <w:p>
      <w:pPr>
        <w:pStyle w:val="ListBullet"/>
      </w:pPr>
      <w:r>
        <w:t>Megan Dudley, Actuarial Associate</w:t>
      </w:r>
    </w:p>
    <w:p>
      <w:pPr>
        <w:pStyle w:val="ListBullet"/>
      </w:pPr>
      <w:r>
        <w:t>David Sherman, Senior Analyst</w:t>
      </w:r>
    </w:p>
    <w:p>
      <w:pPr>
        <w:pStyle w:val="ListBullet"/>
      </w:pPr>
      <w:r>
        <w:t>Jeffrey Ochoa, Actuarial Analyst</w:t>
      </w:r>
    </w:p>
    <w:p>
      <w:pPr>
        <w:pStyle w:val="ListBullet"/>
      </w:pPr>
      <w:r>
        <w:t>Barbara Hall, Chief Operating Officer, Estes Group</w:t>
      </w:r>
    </w:p>
    <w:p>
      <w:pPr>
        <w:pStyle w:val="Heading2"/>
      </w:pPr>
      <w:r>
        <w:t>Notes from the session</w:t>
      </w:r>
    </w:p>
    <w:p>
      <w:r>
        <w:t>We met to bring Barbara Hall current on where the experience study stands and to work through the handful of questions that had come up as we assembled the data. Most of the hour went to the census, which is the part of the work everything else rests on, and the balance to a shared understanding of what the study will and will not be able to tell the board once it is finished.</w:t>
      </w:r>
    </w:p>
    <w:p>
      <w:r>
        <w:t>David Sherman walked us through the reconciliation. The membership file now ties to the Estes Group payroll records within a small and explainable margin, and the exposures we need in order to count who was at risk of retiring, terminating, or dying in each year of the study period are nearly built. He was candid that a study reads only as well as the data underneath it, and that a few records still carry status codes we want confirmed before we treat the counts as final. None of this is unusual for a first study, and none of it changes the shape of the work; it simply means we hold a small number of participants open a little longer.</w:t>
      </w:r>
    </w:p>
    <w:p>
      <w:r>
        <w:t>Jeffrey Ochoa then explained, for Barbara's benefit, how an experience study actually works. For each assumption the plan relies on, we compare what the Estes Group membership actually did over the study period against what the current assumptions predicted, and the relationship between the two is what tells us whether an assumption still fits. He was careful to frame this as measurement rather than judgment. We are counting actual against expected now; whether to recommend a change, and how large a change the data can support, comes later and belongs to the signing actuary.</w:t>
      </w:r>
    </w:p>
    <w:p>
      <w:r>
        <w:t>We also settled, at least in outline, which assumptions the study will speak to. Retirement and termination are where the membership gives us the most to work with, so they will carry the most weight. Mortality we will look at with the plan's size in mind, expecting to lean on a published table adjusted for whatever partial signal the data provide rather than on the plan's own experience alone. Salary increases we will study from the payroll history David has already assembled. Barbara did not need the technical detail, but she wanted to know where our judgment would enter, and we were straight with her that it enters at the end, once the counting is done and we can see which assumptions the data actually quarrel with.</w:t>
      </w:r>
    </w:p>
    <w:p>
      <w:r>
        <w:t>Barbara also raised the questions the board is likely to raise, which was useful to hear this early. She asked whether an earlier benefit change might distort the retirement pattern we are studying, and whether the smaller membership groups would carry enough experience to support any conclusion about them. We agreed that both concerns are real, that we would flag the affected years rather than blend them silently, and that where a group is too thin to stand on its own we will say so plainly instead of dressing up a weak result.</w:t>
      </w:r>
    </w:p>
    <w:p>
      <w:pPr>
        <w:pStyle w:val="Heading2"/>
      </w:pPr>
      <w:r>
        <w:t>What we each agreed to do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Timing</w:t>
            </w:r>
          </w:p>
        </w:tc>
      </w:tr>
      <w:tr>
        <w:tc>
          <w:tcPr>
            <w:tcW w:type="dxa" w:w="2880"/>
          </w:tcPr>
          <w:p>
            <w:r>
              <w:t>David Sherman</w:t>
            </w:r>
          </w:p>
        </w:tc>
        <w:tc>
          <w:tcPr>
            <w:tcW w:type="dxa" w:w="2880"/>
          </w:tcPr>
          <w:p>
            <w:r>
              <w:t>Close out the census once Estes Group confirms the flagged status codes.</w:t>
            </w:r>
          </w:p>
        </w:tc>
        <w:tc>
          <w:tcPr>
            <w:tcW w:type="dxa" w:w="2880"/>
          </w:tcPr>
          <w:p>
            <w:r>
              <w:t>Before the next working session</w:t>
            </w:r>
          </w:p>
        </w:tc>
      </w:tr>
      <w:tr>
        <w:tc>
          <w:tcPr>
            <w:tcW w:type="dxa" w:w="2880"/>
          </w:tcPr>
          <w:p>
            <w:r>
              <w:t>Jeffrey Ochoa</w:t>
            </w:r>
          </w:p>
        </w:tc>
        <w:tc>
          <w:tcPr>
            <w:tcW w:type="dxa" w:w="2880"/>
          </w:tcPr>
          <w:p>
            <w:r>
              <w:t>Complete the actual-to-expected counts for retirement and termination across the study period.</w:t>
            </w:r>
          </w:p>
        </w:tc>
        <w:tc>
          <w:tcPr>
            <w:tcW w:type="dxa" w:w="2880"/>
          </w:tcPr>
          <w:p>
            <w:r>
              <w:t>Next two weeks</w:t>
            </w:r>
          </w:p>
        </w:tc>
      </w:tr>
      <w:tr>
        <w:tc>
          <w:tcPr>
            <w:tcW w:type="dxa" w:w="2880"/>
          </w:tcPr>
          <w:p>
            <w:r>
              <w:t>Megan Dudley</w:t>
            </w:r>
          </w:p>
        </w:tc>
        <w:tc>
          <w:tcPr>
            <w:tcW w:type="dxa" w:w="2880"/>
          </w:tcPr>
          <w:p>
            <w:r>
              <w:t>Circulate these minutes and gather the open data questions for the client in one place.</w:t>
            </w:r>
          </w:p>
        </w:tc>
        <w:tc>
          <w:tcPr>
            <w:tcW w:type="dxa" w:w="2880"/>
          </w:tcPr>
          <w:p>
            <w:r>
              <w:t>This week</w:t>
            </w:r>
          </w:p>
        </w:tc>
      </w:tr>
      <w:tr>
        <w:tc>
          <w:tcPr>
            <w:tcW w:type="dxa" w:w="2880"/>
          </w:tcPr>
          <w:p>
            <w:r>
              <w:t>Barbara Hall</w:t>
            </w:r>
          </w:p>
        </w:tc>
        <w:tc>
          <w:tcPr>
            <w:tcW w:type="dxa" w:w="2880"/>
          </w:tcPr>
          <w:p>
            <w:r>
              <w:t>Confirm the flagged status codes and check the timing of the earlier benefit change against Estes Group's records.</w:t>
            </w:r>
          </w:p>
        </w:tc>
        <w:tc>
          <w:tcPr>
            <w:tcW w:type="dxa" w:w="2880"/>
          </w:tcPr>
          <w:p>
            <w:r>
              <w:t>As available</w:t>
            </w:r>
          </w:p>
        </w:tc>
      </w:tr>
    </w:tbl>
    <w:p>
      <w:r>
        <w:t>Our next step is a simple one. Once Barbara confirms the open status codes, David closes the census and Jeffrey runs the first full set of actual-against-expected counts, and that is what we will walk through together when we next meet.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Experience Study for Estes Group</dc:title>
  <dc:subject/>
  <dc:creator>Megan Dudley</dc:creator>
  <cp:keywords/>
  <dc:description>generated by python-docx</dc:description>
  <cp:lastModifiedBy>Megan Dudley</cp:lastModifiedBy>
  <cp:revision>1</cp:revision>
  <dcterms:created xsi:type="dcterms:W3CDTF">2019-03-19T09:00:00Z</dcterms:created>
  <dcterms:modified xsi:type="dcterms:W3CDTF">2019-03-19T09:00:00Z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