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Michelle Banks, Nicole Hanna</w:t>
        <w:br/>
        <w:t>From: Karen Harris</w:t>
        <w:br/>
        <w:t>Re: Gonzalez, Campbell and Kelly reinsurance pricing review -- kickoff</w:t>
      </w:r>
    </w:p>
    <w:p>
      <w:r>
        <w:t>We have the reinsurance pricing review, and this note sets how we run it and what each of us owns. The engagement is signed and the scope is set. Our job now is to bring the client's data in, reconcile it, and build the exhibits the opinion rests on, in that order. Nothing gets tabulated before the data is confirmed.</w:t>
      </w:r>
    </w:p>
    <w:p>
      <w:pPr>
        <w:pStyle w:val="Heading2"/>
      </w:pPr>
      <w:r>
        <w:t>What we owe the client</w:t>
      </w:r>
    </w:p>
    <w:p>
      <w:r>
        <w:t>The deliverable is a report the client can act on, backed by a workbook of exhibits that supports every number in it. We are reviewing the pricing of the reinsurance Gonzalez, Campbell and Kelly cedes: the loss and premium experience treaty by treaty, measured against the pricing in force, with a plain statement of where the pricing holds and where it does not. We keep apart the three things we always keep apart. What the data show, what we assume, and what we conclude each stand in their own place, in the workbook and in the report. A number we cannot explain is not a finding. It is an open question, and it stays open until someone answers it.</w:t>
      </w:r>
    </w:p>
    <w:p>
      <w:pPr>
        <w:pStyle w:val="Heading2"/>
      </w:pPr>
      <w:r>
        <w:t>How the work divides</w:t>
      </w:r>
    </w:p>
    <w:p>
      <w:r>
        <w:t>Michelle Banks takes the data intake and the first calculations. She pulls in the treaty terms and the cession, premium, and loss files, gets them into shape, and runs the preliminary numbers before any of it reaches an exhibit. Nicole Hanna runs valuation support and the data checks. She ties the counts and the cash flows back to the client's own summaries and flags anything that does not reconcile before it travels further. I will build the exhibits and the assumption tables off their work, and I will keep the running list of open data questions so nothing waits on a request no one has sent. James Garcia, the Chief Financial Officer, is our point of contact. Data requests and scheduling go through his office. Any client-facing question goes through me first, so that we speak with one voice on scope and timing.</w:t>
      </w:r>
    </w:p>
    <w:p>
      <w:pPr>
        <w:pStyle w:val="Heading2"/>
      </w:pPr>
      <w:r>
        <w:t>How we run it</w:t>
      </w:r>
    </w:p>
    <w:p>
      <w:r>
        <w:t>A word on cadence, because a review like this stalls in the gaps between people. We keep one running thread with the client for data and scheduling, and everything we ask for goes on it, so nothing sits waiting on a request no one sent. Inside the team, bring me the open questions early and often. I would far rather hear that a file does not tie in week two than discover it against a delivery date. The work is performed under the actuarial standards that govern a pricing review, which means every figure we put forward has to trace back to something we can show. Keep your notes literal. Write down what a file shows and what you relied on, so that when the report reaches review the record behind it is already there.</w:t>
      </w:r>
    </w:p>
    <w:p>
      <w:pPr>
        <w:pStyle w:val="Heading2"/>
      </w:pPr>
      <w:r>
        <w:t>Where we start</w:t>
      </w:r>
    </w:p>
    <w:p>
      <w:r>
        <w:t>Work begins on July 25, 2024. The first data request goes to James Garcia's office that week, and it lists the treaty documents and the cession, premium, and loss records we need, with the format we want them in. Until that data and the treaty terms are both confirmed, we tabulate nothing and treat the program as provisional. Data quality is the usual risk on a first review for a client. Expect the loss files to need a pass before they tie to the premium records, and expect at least one treaty whose terms on the page do not match how it was actually run. Raise the question the moment you have it. A discrepancy caught at intake is a note. The same discrepancy caught in a delivered report is a problem, and by then it is expensive to fix.</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Reinsurance Pricing Review for Gonzalez, Campbell and Kelly</dc:title>
  <dc:subject/>
  <dc:creator>Karen Harris</dc:creator>
  <cp:keywords/>
  <dc:description>generated by python-docx</dc:description>
  <cp:lastModifiedBy>Karen Harris</cp:lastModifiedBy>
  <cp:revision>1</cp:revision>
  <dcterms:created xsi:type="dcterms:W3CDTF">2024-07-28T09:00:00Z</dcterms:created>
  <dcterms:modified xsi:type="dcterms:W3CDTF">2024-07-28T09:00:00Z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